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2020年拟筹建市级技术创新中心名单（第一批）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3"/>
        <w:tblW w:w="791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38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中心名称</w:t>
            </w:r>
          </w:p>
        </w:tc>
        <w:tc>
          <w:tcPr>
            <w:tcW w:w="383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牵头建设单位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both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"/>
              </w:rPr>
              <w:t>威海市光纤材料及应用技术创新中心</w:t>
            </w:r>
          </w:p>
        </w:tc>
        <w:tc>
          <w:tcPr>
            <w:tcW w:w="38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both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"/>
              </w:rPr>
              <w:t>威海长和光导科技有限公司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both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"/>
              </w:rPr>
              <w:t>威海市花生精深加工技术创新中心</w:t>
            </w:r>
          </w:p>
        </w:tc>
        <w:tc>
          <w:tcPr>
            <w:tcW w:w="38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both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"/>
              </w:rPr>
              <w:t>华隆（乳山）食品工业有限公司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both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"/>
              </w:rPr>
              <w:t>威海市西洋参产业技术创新中心</w:t>
            </w:r>
          </w:p>
        </w:tc>
        <w:tc>
          <w:tcPr>
            <w:tcW w:w="38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both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"/>
              </w:rPr>
              <w:t>威海金颐阳药业有限公司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both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"/>
              </w:rPr>
              <w:t>威海市游艇技术创新中心</w:t>
            </w:r>
          </w:p>
        </w:tc>
        <w:tc>
          <w:tcPr>
            <w:tcW w:w="38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rightChars="0"/>
              <w:jc w:val="both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"/>
              </w:rPr>
              <w:t>威海西港游艇有限公司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</w:pPr>
    </w:p>
    <w:sectPr>
      <w:pgSz w:w="11906" w:h="16838"/>
      <w:pgMar w:top="2098" w:right="1474" w:bottom="1587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0A1C5E"/>
    <w:rsid w:val="03A34ECE"/>
    <w:rsid w:val="0BD06CCE"/>
    <w:rsid w:val="15042393"/>
    <w:rsid w:val="37943625"/>
    <w:rsid w:val="37DF191D"/>
    <w:rsid w:val="430D5FF8"/>
    <w:rsid w:val="52DB0DC5"/>
    <w:rsid w:val="5E950E20"/>
    <w:rsid w:val="730A1C5E"/>
    <w:rsid w:val="74694F23"/>
    <w:rsid w:val="759B7C4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Times New Roman" w:hAnsi="Times New Roman" w:cs="Times New Roman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2019-11-11T02:46:00Z</dcterms:created>
  <dc:creator>Administrator</dc:creator>
  <cp:lastModifiedBy>张永强</cp:lastModifiedBy>
  <cp:lastPrinted>2020-07-13T02:25:00Z</cp:lastPrinted>
  <dcterms:modified xsi:type="dcterms:W3CDTF">2020-07-14T08:59:36Z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