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CESI黑体-GB2312" w:cs="CESI黑体-GB2312"/>
          <w:sz w:val="32"/>
          <w:szCs w:val="32"/>
          <w:lang w:val="en-US" w:eastAsia="zh-CN"/>
        </w:rPr>
      </w:pPr>
      <w:r>
        <w:rPr>
          <w:rFonts w:hint="eastAsia" w:ascii="Times New Roman" w:hAnsi="Times New Roman" w:eastAsia="CESI黑体-GB2312" w:cs="CESI黑体-GB2312"/>
          <w:sz w:val="32"/>
          <w:szCs w:val="32"/>
          <w:lang w:val="en-US" w:eastAsia="zh-CN"/>
        </w:rPr>
        <w:t>附件1</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方正小标宋简体"/>
          <w:sz w:val="44"/>
          <w:szCs w:val="44"/>
          <w:lang w:val="en-US" w:eastAsia="zh-CN"/>
        </w:rPr>
      </w:pPr>
      <w:r>
        <w:rPr>
          <w:rFonts w:hint="eastAsia" w:ascii="Times New Roman" w:hAnsi="Times New Roman" w:eastAsia="方正小标宋简体" w:cs="方正小标宋简体"/>
          <w:sz w:val="44"/>
          <w:szCs w:val="44"/>
          <w:lang w:val="en-US" w:eastAsia="zh-CN"/>
        </w:rPr>
        <w:t>2025年度威海市“揭榜挂帅”项目</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方正小标宋简体"/>
          <w:sz w:val="44"/>
          <w:szCs w:val="44"/>
          <w:lang w:val="en-US" w:eastAsia="zh-CN"/>
        </w:rPr>
      </w:pPr>
      <w:bookmarkStart w:id="1" w:name="_GoBack"/>
      <w:bookmarkEnd w:id="1"/>
      <w:r>
        <w:rPr>
          <w:rFonts w:hint="eastAsia" w:ascii="Times New Roman" w:hAnsi="Times New Roman" w:eastAsia="方正小标宋简体" w:cs="方正小标宋简体"/>
          <w:sz w:val="44"/>
          <w:szCs w:val="44"/>
          <w:lang w:val="en-US" w:eastAsia="zh-CN"/>
        </w:rPr>
        <w:t>（技术攻关类）榜单</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imes New Roman" w:hAnsi="Times New Roman" w:eastAsia="仿宋_GB2312"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黑体" w:cs="黑体"/>
          <w:sz w:val="32"/>
          <w:szCs w:val="32"/>
          <w:lang w:val="en-US" w:eastAsia="zh-CN"/>
        </w:rPr>
      </w:pPr>
      <w:r>
        <w:rPr>
          <w:rFonts w:hint="eastAsia" w:ascii="Times New Roman" w:hAnsi="Times New Roman" w:eastAsia="方正黑体_GBK" w:cs="方正黑体_GBK"/>
          <w:b w:val="0"/>
          <w:bCs w:val="0"/>
          <w:sz w:val="32"/>
          <w:szCs w:val="32"/>
          <w:lang w:eastAsia="zh-CN"/>
        </w:rPr>
        <w:t>榜单一：</w:t>
      </w:r>
      <w:r>
        <w:rPr>
          <w:rFonts w:hint="eastAsia" w:ascii="Times New Roman" w:hAnsi="Times New Roman" w:eastAsia="黑体" w:cs="黑体"/>
          <w:sz w:val="32"/>
          <w:szCs w:val="32"/>
          <w:lang w:val="en-US" w:eastAsia="zh-CN"/>
        </w:rPr>
        <w:t>新能源用高性能电池正极集流体铝箔研制</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textAlignment w:val="auto"/>
        <w:rPr>
          <w:rFonts w:hint="eastAsia" w:ascii="Times New Roman" w:hAnsi="Times New Roman" w:eastAsia="仿宋_GB2312" w:cs="仿宋_GB2312"/>
          <w:b w:val="0"/>
          <w:bCs w:val="0"/>
          <w:sz w:val="32"/>
          <w:szCs w:val="32"/>
          <w:shd w:val="clear" w:color="auto" w:fill="FFFFFF"/>
          <w:lang w:val="en-US" w:eastAsia="zh-CN"/>
        </w:rPr>
      </w:pPr>
      <w:r>
        <w:rPr>
          <w:rFonts w:hint="eastAsia" w:ascii="Times New Roman" w:hAnsi="Times New Roman" w:eastAsia="仿宋_GB2312" w:cs="仿宋_GB2312"/>
          <w:b/>
          <w:bCs/>
          <w:sz w:val="32"/>
          <w:szCs w:val="32"/>
          <w:lang w:eastAsia="zh-CN"/>
        </w:rPr>
        <w:t>（</w:t>
      </w:r>
      <w:r>
        <w:rPr>
          <w:rFonts w:hint="eastAsia" w:ascii="Times New Roman" w:hAnsi="Times New Roman" w:eastAsia="仿宋_GB2312" w:cs="仿宋_GB2312"/>
          <w:b/>
          <w:bCs/>
          <w:sz w:val="32"/>
          <w:szCs w:val="32"/>
          <w:lang w:val="en-US" w:eastAsia="zh-CN"/>
        </w:rPr>
        <w:t>一</w:t>
      </w:r>
      <w:r>
        <w:rPr>
          <w:rFonts w:hint="eastAsia" w:ascii="Times New Roman" w:hAnsi="Times New Roman" w:eastAsia="仿宋_GB2312" w:cs="仿宋_GB2312"/>
          <w:b/>
          <w:bCs/>
          <w:sz w:val="32"/>
          <w:szCs w:val="32"/>
          <w:lang w:eastAsia="zh-CN"/>
        </w:rPr>
        <w:t>）</w:t>
      </w:r>
      <w:r>
        <w:rPr>
          <w:rFonts w:hint="eastAsia" w:ascii="Times New Roman" w:hAnsi="Times New Roman" w:eastAsia="仿宋_GB2312" w:cs="仿宋_GB2312"/>
          <w:b/>
          <w:bCs/>
          <w:sz w:val="32"/>
          <w:szCs w:val="32"/>
          <w:lang w:val="en-US" w:eastAsia="zh-CN"/>
        </w:rPr>
        <w:t>研究内容：</w:t>
      </w:r>
      <w:r>
        <w:rPr>
          <w:rFonts w:hint="eastAsia" w:ascii="Times New Roman" w:hAnsi="Times New Roman" w:eastAsia="仿宋_GB2312" w:cs="仿宋_GB2312"/>
          <w:b w:val="0"/>
          <w:bCs w:val="0"/>
          <w:sz w:val="32"/>
          <w:szCs w:val="32"/>
          <w:shd w:val="clear" w:color="auto" w:fill="FFFFFF"/>
          <w:lang w:val="en-US" w:eastAsia="zh-CN"/>
        </w:rPr>
        <w:t>针对电池正极集流体铝箔抗拉强度波动大、延伸率不稳定问题，研究高性能铝箔高质量制造关键技术，开发铝合金材料成分设计，研究金属元素种类及含量对铝箔力学性能的影响机制，开发高性能铝箔高质量制造工艺，研究多道次轧制工艺参数对铝箔成形性的影响，完成高性能铝箔组织性能调控及评价，形成新能源电池用正极集流体铝箔系列化产品。</w:t>
      </w: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2"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仿宋_GB2312"/>
          <w:b/>
          <w:bCs/>
          <w:sz w:val="32"/>
          <w:szCs w:val="32"/>
          <w:shd w:val="clear" w:color="auto" w:fill="FFFFFF"/>
          <w:lang w:val="en-US" w:eastAsia="zh-CN"/>
        </w:rPr>
        <w:t>（二）技术指标：</w:t>
      </w:r>
      <w:r>
        <w:rPr>
          <w:rFonts w:hint="eastAsia" w:ascii="Times New Roman" w:hAnsi="Times New Roman" w:eastAsia="仿宋_GB2312" w:cs="仿宋_GB2312"/>
          <w:b w:val="0"/>
          <w:bCs w:val="0"/>
          <w:sz w:val="32"/>
          <w:szCs w:val="32"/>
          <w:shd w:val="clear" w:color="auto" w:fill="FFFFFF"/>
          <w:lang w:val="en-US" w:eastAsia="zh-CN"/>
        </w:rPr>
        <w:t>（1）</w:t>
      </w:r>
      <w:r>
        <w:rPr>
          <w:rFonts w:hint="eastAsia" w:ascii="Times New Roman" w:hAnsi="Times New Roman" w:eastAsia="仿宋_GB2312" w:cs="Times New Roman"/>
          <w:sz w:val="32"/>
          <w:szCs w:val="32"/>
          <w:lang w:val="en-US" w:eastAsia="zh-CN"/>
        </w:rPr>
        <w:t>完成3种以上高性能电池正极集流体铝箔合金配方；（2）年产能2-2.5万吨高性能铝箔制造工艺开发；（3）铝箔产品抗拉强度≥250MPa，延伸率≥5%，厚度在12-15μm，万米辊压断带率≤1次。</w:t>
      </w: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2" w:firstLineChars="200"/>
        <w:textAlignment w:val="auto"/>
        <w:rPr>
          <w:rFonts w:hint="default" w:ascii="Times New Roman" w:hAnsi="Times New Roman" w:eastAsia="仿宋_GB2312" w:cs="仿宋_GB2312"/>
          <w:b w:val="0"/>
          <w:bCs w:val="0"/>
          <w:sz w:val="32"/>
          <w:szCs w:val="32"/>
          <w:shd w:val="clear" w:color="auto" w:fill="FFFFFF"/>
          <w:lang w:val="en-US" w:eastAsia="zh-CN"/>
        </w:rPr>
      </w:pPr>
      <w:r>
        <w:rPr>
          <w:rFonts w:hint="eastAsia" w:ascii="Times New Roman" w:hAnsi="Times New Roman" w:eastAsia="仿宋_GB2312" w:cs="仿宋_GB2312"/>
          <w:b/>
          <w:bCs/>
          <w:sz w:val="32"/>
          <w:szCs w:val="32"/>
          <w:shd w:val="clear" w:color="auto" w:fill="FFFFFF"/>
          <w:lang w:val="en-US" w:eastAsia="zh-CN"/>
        </w:rPr>
        <w:t>（三）项目交示件：</w:t>
      </w:r>
      <w:r>
        <w:rPr>
          <w:rFonts w:hint="eastAsia" w:ascii="Times New Roman" w:hAnsi="Times New Roman" w:eastAsia="仿宋_GB2312" w:cs="仿宋_GB2312"/>
          <w:b w:val="0"/>
          <w:bCs w:val="0"/>
          <w:sz w:val="32"/>
          <w:szCs w:val="32"/>
          <w:shd w:val="clear" w:color="auto" w:fill="FFFFFF"/>
          <w:lang w:val="en-US" w:eastAsia="zh-CN"/>
        </w:rPr>
        <w:t>提供新产品实物小样、成份设计报告、工艺技术报告、第三方机构检测报告、年度产能报告。</w:t>
      </w: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2" w:firstLineChars="200"/>
        <w:textAlignment w:val="auto"/>
        <w:rPr>
          <w:rFonts w:hint="eastAsia" w:ascii="Times New Roman" w:hAnsi="Times New Roman" w:eastAsia="仿宋_GB2312" w:cs="仿宋_GB2312"/>
          <w:sz w:val="32"/>
          <w:szCs w:val="32"/>
          <w:shd w:val="clear" w:color="auto" w:fill="FFFFFF"/>
          <w:lang w:val="en-US" w:eastAsia="zh-CN"/>
        </w:rPr>
      </w:pPr>
      <w:r>
        <w:rPr>
          <w:rFonts w:hint="eastAsia" w:ascii="Times New Roman" w:hAnsi="Times New Roman" w:eastAsia="仿宋_GB2312" w:cs="仿宋_GB2312"/>
          <w:b/>
          <w:bCs/>
          <w:sz w:val="32"/>
          <w:szCs w:val="32"/>
          <w:shd w:val="clear" w:color="auto" w:fill="FFFFFF"/>
          <w:lang w:val="en-US" w:eastAsia="zh-CN"/>
        </w:rPr>
        <w:t>（四）项目完成时间:</w:t>
      </w:r>
      <w:r>
        <w:rPr>
          <w:rFonts w:hint="eastAsia" w:ascii="Times New Roman" w:hAnsi="Times New Roman" w:eastAsia="仿宋_GB2312" w:cs="仿宋_GB2312"/>
          <w:sz w:val="32"/>
          <w:szCs w:val="32"/>
          <w:shd w:val="clear" w:color="auto" w:fill="FFFFFF"/>
          <w:lang w:val="en-US" w:eastAsia="zh-CN"/>
        </w:rPr>
        <w:t>24个月</w:t>
      </w: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2" w:firstLineChars="200"/>
        <w:textAlignment w:val="auto"/>
        <w:rPr>
          <w:rFonts w:ascii="Times New Roman" w:hAnsi="Times New Roman"/>
        </w:rPr>
      </w:pPr>
      <w:r>
        <w:rPr>
          <w:rFonts w:hint="eastAsia" w:ascii="Times New Roman" w:hAnsi="Times New Roman" w:eastAsia="仿宋_GB2312" w:cs="仿宋_GB2312"/>
          <w:b/>
          <w:bCs/>
          <w:kern w:val="2"/>
          <w:sz w:val="32"/>
          <w:szCs w:val="32"/>
          <w:shd w:val="clear" w:color="auto" w:fill="FFFFFF"/>
          <w:lang w:val="en-US" w:eastAsia="zh-CN" w:bidi="ar-SA"/>
        </w:rPr>
        <w:t>（五）张榜标的额:</w:t>
      </w:r>
      <w:r>
        <w:rPr>
          <w:rFonts w:hint="eastAsia" w:ascii="Times New Roman" w:hAnsi="Times New Roman" w:eastAsia="仿宋_GB2312" w:cs="仿宋_GB2312"/>
          <w:b w:val="0"/>
          <w:bCs w:val="0"/>
          <w:kern w:val="2"/>
          <w:sz w:val="32"/>
          <w:szCs w:val="32"/>
          <w:shd w:val="clear" w:color="auto" w:fill="FFFFFF"/>
          <w:lang w:val="en-US" w:eastAsia="zh-CN" w:bidi="ar-SA"/>
        </w:rPr>
        <w:t>不超过100万元</w:t>
      </w:r>
    </w:p>
    <w:p>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Times New Roman" w:hAnsi="Times New Roman" w:eastAsia="方正黑体_GBK" w:cs="方正黑体_GBK"/>
          <w:b w:val="0"/>
          <w:bCs w:val="0"/>
          <w:sz w:val="32"/>
          <w:szCs w:val="32"/>
          <w:lang w:eastAsia="zh-CN"/>
        </w:rPr>
      </w:pPr>
    </w:p>
    <w:p>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Times New Roman" w:hAnsi="Times New Roman" w:eastAsia="方正黑体_GBK" w:cs="方正黑体_GBK"/>
          <w:b w:val="0"/>
          <w:bCs w:val="0"/>
          <w:sz w:val="32"/>
          <w:szCs w:val="32"/>
          <w:lang w:eastAsia="zh-CN"/>
        </w:rPr>
      </w:pPr>
    </w:p>
    <w:p>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Times New Roman" w:hAnsi="Times New Roman" w:eastAsia="方正黑体_GBK" w:cs="方正黑体_GBK"/>
          <w:b w:val="0"/>
          <w:bCs w:val="0"/>
          <w:sz w:val="32"/>
          <w:szCs w:val="32"/>
          <w:lang w:eastAsia="zh-CN"/>
        </w:rPr>
        <w:sectPr>
          <w:pgSz w:w="11906" w:h="16838"/>
          <w:pgMar w:top="2098" w:right="1474" w:bottom="1984" w:left="1587" w:header="851" w:footer="992" w:gutter="0"/>
          <w:pgBorders>
            <w:top w:val="none" w:sz="0" w:space="0"/>
            <w:left w:val="none" w:sz="0" w:space="0"/>
            <w:bottom w:val="none" w:sz="0" w:space="0"/>
            <w:right w:val="none" w:sz="0" w:space="0"/>
          </w:pgBorders>
          <w:cols w:space="720" w:num="1"/>
          <w:docGrid w:type="lines" w:linePitch="312" w:charSpace="0"/>
        </w:sectPr>
      </w:pPr>
    </w:p>
    <w:p>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Times New Roman" w:hAnsi="Times New Roman" w:eastAsia="方正黑体_GBK" w:cs="方正黑体_GBK"/>
          <w:b w:val="0"/>
          <w:bCs w:val="0"/>
          <w:sz w:val="32"/>
          <w:szCs w:val="32"/>
          <w:lang w:eastAsia="zh-CN"/>
        </w:rPr>
      </w:pPr>
      <w:r>
        <w:rPr>
          <w:rFonts w:hint="eastAsia" w:ascii="Times New Roman" w:hAnsi="Times New Roman" w:eastAsia="黑体" w:cs="黑体"/>
          <w:b w:val="0"/>
          <w:bCs w:val="0"/>
          <w:sz w:val="32"/>
          <w:szCs w:val="32"/>
          <w:lang w:eastAsia="zh-CN"/>
        </w:rPr>
        <w:t>榜单二：</w:t>
      </w:r>
      <w:r>
        <w:rPr>
          <w:rFonts w:hint="eastAsia" w:ascii="Times New Roman" w:hAnsi="Times New Roman" w:eastAsia="黑体" w:cs="黑体"/>
          <w:b w:val="0"/>
          <w:bCs w:val="0"/>
          <w:sz w:val="32"/>
          <w:szCs w:val="32"/>
        </w:rPr>
        <w:t>生物法制备N-乙酰氨基葡萄糖</w:t>
      </w:r>
    </w:p>
    <w:p>
      <w:pPr>
        <w:keepNext w:val="0"/>
        <w:keepLines w:val="0"/>
        <w:pageBreakBefore w:val="0"/>
        <w:widowControl w:val="0"/>
        <w:numPr>
          <w:ilvl w:val="0"/>
          <w:numId w:val="0"/>
        </w:numPr>
        <w:kinsoku/>
        <w:wordWrap/>
        <w:overflowPunct/>
        <w:topLinePunct w:val="0"/>
        <w:autoSpaceDE/>
        <w:autoSpaceDN/>
        <w:bidi w:val="0"/>
        <w:adjustRightInd w:val="0"/>
        <w:snapToGrid w:val="0"/>
        <w:spacing w:line="540" w:lineRule="exact"/>
        <w:ind w:firstLine="642" w:firstLineChars="200"/>
        <w:textAlignment w:val="auto"/>
        <w:rPr>
          <w:rFonts w:hint="eastAsia" w:ascii="Times New Roman" w:hAnsi="Times New Roman" w:eastAsia="仿宋_GB2312" w:cs="仿宋_GB2312"/>
          <w:b w:val="0"/>
          <w:bCs w:val="0"/>
          <w:sz w:val="32"/>
          <w:szCs w:val="32"/>
        </w:rPr>
      </w:pPr>
      <w:r>
        <w:rPr>
          <w:rFonts w:hint="eastAsia" w:ascii="Times New Roman" w:hAnsi="Times New Roman" w:eastAsia="仿宋_GB2312" w:cs="仿宋_GB2312"/>
          <w:b/>
          <w:bCs/>
          <w:sz w:val="32"/>
          <w:szCs w:val="32"/>
          <w:lang w:eastAsia="zh-CN"/>
        </w:rPr>
        <w:t>（一）</w:t>
      </w:r>
      <w:r>
        <w:rPr>
          <w:rFonts w:hint="eastAsia" w:ascii="Times New Roman" w:hAnsi="Times New Roman" w:eastAsia="仿宋_GB2312" w:cs="仿宋_GB2312"/>
          <w:b/>
          <w:bCs/>
          <w:sz w:val="32"/>
          <w:szCs w:val="32"/>
        </w:rPr>
        <w:t>研究内容</w:t>
      </w:r>
      <w:r>
        <w:rPr>
          <w:rFonts w:hint="eastAsia" w:ascii="Times New Roman" w:hAnsi="Times New Roman" w:eastAsia="仿宋_GB2312" w:cs="仿宋_GB2312"/>
          <w:b/>
          <w:bCs/>
          <w:sz w:val="32"/>
          <w:szCs w:val="32"/>
          <w:lang w:eastAsia="zh-CN"/>
        </w:rPr>
        <w:t>：</w:t>
      </w:r>
      <w:r>
        <w:rPr>
          <w:rFonts w:hint="eastAsia" w:ascii="Times New Roman" w:hAnsi="Times New Roman" w:eastAsia="仿宋_GB2312" w:cs="仿宋_GB2312"/>
          <w:b w:val="0"/>
          <w:bCs w:val="0"/>
          <w:sz w:val="32"/>
          <w:szCs w:val="32"/>
        </w:rPr>
        <w:t>针对N-乙酰氨基葡萄微生物法发酵水平低、生产成本高、无法全面替代甲壳素水解工艺的问题，采取包括但不限于基因敲除、代谢工程等方法，构建N-乙酰氨基葡萄糖高产菌株，开发高密度发酵工艺、提取精制工艺及质量分析方法。</w:t>
      </w:r>
    </w:p>
    <w:p>
      <w:pPr>
        <w:pStyle w:val="3"/>
        <w:keepNext w:val="0"/>
        <w:keepLines w:val="0"/>
        <w:pageBreakBefore w:val="0"/>
        <w:widowControl w:val="0"/>
        <w:kinsoku/>
        <w:wordWrap/>
        <w:overflowPunct/>
        <w:topLinePunct w:val="0"/>
        <w:autoSpaceDE/>
        <w:autoSpaceDN/>
        <w:bidi w:val="0"/>
        <w:spacing w:after="0" w:line="540" w:lineRule="exact"/>
        <w:ind w:firstLine="642" w:firstLineChars="200"/>
        <w:textAlignment w:val="auto"/>
        <w:rPr>
          <w:rFonts w:hint="eastAsia" w:ascii="Times New Roman" w:hAnsi="Times New Roman" w:eastAsia="仿宋_GB2312" w:cs="仿宋_GB2312"/>
          <w:b w:val="0"/>
          <w:bCs w:val="0"/>
          <w:kern w:val="2"/>
          <w:sz w:val="32"/>
          <w:szCs w:val="32"/>
          <w:lang w:val="en-US" w:eastAsia="zh-CN" w:bidi="ar-SA"/>
        </w:rPr>
      </w:pPr>
      <w:r>
        <w:rPr>
          <w:rFonts w:hint="eastAsia" w:ascii="Times New Roman" w:hAnsi="Times New Roman" w:eastAsia="仿宋_GB2312" w:cs="仿宋_GB2312"/>
          <w:b/>
          <w:bCs/>
          <w:sz w:val="32"/>
          <w:szCs w:val="32"/>
        </w:rPr>
        <w:t>（二）技术指标：</w:t>
      </w:r>
      <w:r>
        <w:rPr>
          <w:rFonts w:hint="eastAsia" w:ascii="Times New Roman" w:hAnsi="Times New Roman" w:eastAsia="仿宋_GB2312" w:cs="仿宋_GB2312"/>
          <w:b w:val="0"/>
          <w:bCs w:val="0"/>
          <w:kern w:val="2"/>
          <w:sz w:val="32"/>
          <w:szCs w:val="32"/>
          <w:lang w:val="en-US" w:eastAsia="zh-CN" w:bidi="ar-SA"/>
        </w:rPr>
        <w:t>（1）菌种：大肠杆菌工程菌或其它生产菌株；（2）吨级发酵罐发酵周期≤80小时，发酵液中N-乙酰氨基葡萄糖产量不低于180g/L；（3）葡萄糖质量转化率不低于40%；（4）产品收率85%以上，产品纯度99%以上；（5）工业化生产含税物料成本不高于20元/Kg。</w:t>
      </w:r>
    </w:p>
    <w:p>
      <w:pPr>
        <w:pStyle w:val="3"/>
        <w:keepNext w:val="0"/>
        <w:keepLines w:val="0"/>
        <w:pageBreakBefore w:val="0"/>
        <w:widowControl w:val="0"/>
        <w:kinsoku/>
        <w:wordWrap/>
        <w:overflowPunct/>
        <w:topLinePunct w:val="0"/>
        <w:autoSpaceDE/>
        <w:autoSpaceDN/>
        <w:bidi w:val="0"/>
        <w:spacing w:after="0" w:line="540" w:lineRule="exact"/>
        <w:ind w:firstLine="642" w:firstLineChars="200"/>
        <w:textAlignment w:val="auto"/>
        <w:rPr>
          <w:rFonts w:hint="default" w:ascii="Times New Roman" w:hAnsi="Times New Roman" w:eastAsia="仿宋_GB2312" w:cs="仿宋_GB2312"/>
          <w:b w:val="0"/>
          <w:bCs w:val="0"/>
          <w:kern w:val="2"/>
          <w:sz w:val="32"/>
          <w:szCs w:val="32"/>
          <w:lang w:val="en-US" w:eastAsia="zh-CN" w:bidi="ar-SA"/>
        </w:rPr>
      </w:pPr>
      <w:r>
        <w:rPr>
          <w:rFonts w:hint="eastAsia" w:ascii="Times New Roman" w:hAnsi="Times New Roman" w:eastAsia="仿宋_GB2312" w:cs="仿宋_GB2312"/>
          <w:b/>
          <w:bCs/>
          <w:sz w:val="32"/>
          <w:szCs w:val="32"/>
        </w:rPr>
        <w:t>（三）项目交示件</w:t>
      </w:r>
      <w:r>
        <w:rPr>
          <w:rFonts w:hint="eastAsia" w:ascii="Times New Roman" w:hAnsi="Times New Roman" w:eastAsia="仿宋_GB2312" w:cs="仿宋_GB2312"/>
          <w:b/>
          <w:bCs/>
          <w:sz w:val="32"/>
          <w:szCs w:val="32"/>
          <w:lang w:eastAsia="zh-CN"/>
        </w:rPr>
        <w:t>：</w:t>
      </w:r>
      <w:r>
        <w:rPr>
          <w:rFonts w:hint="eastAsia" w:ascii="Times New Roman" w:hAnsi="Times New Roman" w:eastAsia="仿宋_GB2312" w:cs="仿宋_GB2312"/>
          <w:b w:val="0"/>
          <w:bCs w:val="0"/>
          <w:kern w:val="2"/>
          <w:sz w:val="32"/>
          <w:szCs w:val="32"/>
          <w:lang w:val="en-US" w:eastAsia="zh-CN" w:bidi="ar-SA"/>
        </w:rPr>
        <w:t>（1）生产菌种甘油种10支；（2）发酵相关技术资料：菌种分离及保藏方法，斜面配方及条件，一级种子罐配方及条件，二级种子罐配方及条件，主发酵罐配方及条件，物料及物料质量要求，中控分析方法，产物分析方法，发酵报批，对发酵设备的特殊要求，主要设备清单；（3）提取工艺资料：提取工艺资料是从发酵结束后的发酵液处理开始到可以出售的成品为止。包括提取工艺原理介绍、提取工艺流程（框图和文字）、提取工艺关键控制点和工艺参数、提取设备列表、中控分析方法；（4）产品第三方检测报告。</w:t>
      </w:r>
    </w:p>
    <w:p>
      <w:pPr>
        <w:keepNext w:val="0"/>
        <w:keepLines w:val="0"/>
        <w:pageBreakBefore w:val="0"/>
        <w:widowControl w:val="0"/>
        <w:kinsoku/>
        <w:wordWrap/>
        <w:overflowPunct/>
        <w:topLinePunct w:val="0"/>
        <w:autoSpaceDE/>
        <w:autoSpaceDN/>
        <w:bidi w:val="0"/>
        <w:spacing w:line="540" w:lineRule="exact"/>
        <w:ind w:firstLine="758" w:firstLineChars="236"/>
        <w:textAlignment w:val="auto"/>
        <w:rPr>
          <w:rFonts w:hint="eastAsia" w:ascii="Times New Roman" w:hAnsi="Times New Roman" w:eastAsia="仿宋_GB2312" w:cs="仿宋_GB2312"/>
          <w:b w:val="0"/>
          <w:bCs w:val="0"/>
          <w:sz w:val="32"/>
          <w:szCs w:val="32"/>
        </w:rPr>
      </w:pPr>
      <w:r>
        <w:rPr>
          <w:rFonts w:hint="eastAsia" w:ascii="Times New Roman" w:hAnsi="Times New Roman" w:eastAsia="仿宋_GB2312" w:cs="仿宋_GB2312"/>
          <w:b/>
          <w:bCs/>
          <w:sz w:val="32"/>
          <w:szCs w:val="32"/>
        </w:rPr>
        <w:t>（四）项目完成时间：</w:t>
      </w:r>
      <w:r>
        <w:rPr>
          <w:rFonts w:hint="eastAsia" w:ascii="Times New Roman" w:hAnsi="Times New Roman" w:eastAsia="仿宋_GB2312" w:cs="仿宋_GB2312"/>
          <w:b w:val="0"/>
          <w:bCs w:val="0"/>
          <w:sz w:val="32"/>
          <w:szCs w:val="32"/>
        </w:rPr>
        <w:t>12个月</w:t>
      </w:r>
    </w:p>
    <w:p>
      <w:pPr>
        <w:keepNext w:val="0"/>
        <w:keepLines w:val="0"/>
        <w:pageBreakBefore w:val="0"/>
        <w:widowControl w:val="0"/>
        <w:kinsoku/>
        <w:wordWrap/>
        <w:overflowPunct/>
        <w:topLinePunct w:val="0"/>
        <w:autoSpaceDE/>
        <w:autoSpaceDN/>
        <w:bidi w:val="0"/>
        <w:spacing w:line="540" w:lineRule="exact"/>
        <w:ind w:firstLine="758" w:firstLineChars="236"/>
        <w:textAlignment w:val="auto"/>
        <w:rPr>
          <w:rFonts w:hint="eastAsia" w:ascii="Times New Roman" w:hAnsi="Times New Roman" w:eastAsia="仿宋_GB2312" w:cs="仿宋_GB2312"/>
          <w:b w:val="0"/>
          <w:bCs w:val="0"/>
          <w:sz w:val="32"/>
          <w:szCs w:val="32"/>
          <w:lang w:val="en-US" w:eastAsia="zh-CN"/>
        </w:rPr>
        <w:sectPr>
          <w:pgSz w:w="11906" w:h="16838"/>
          <w:pgMar w:top="2098" w:right="1474" w:bottom="1984" w:left="1587" w:header="851" w:footer="992" w:gutter="0"/>
          <w:pgBorders>
            <w:top w:val="none" w:sz="0" w:space="0"/>
            <w:left w:val="none" w:sz="0" w:space="0"/>
            <w:bottom w:val="none" w:sz="0" w:space="0"/>
            <w:right w:val="none" w:sz="0" w:space="0"/>
          </w:pgBorders>
          <w:cols w:space="720" w:num="1"/>
          <w:docGrid w:type="lines" w:linePitch="312" w:charSpace="0"/>
        </w:sectPr>
      </w:pPr>
      <w:r>
        <w:rPr>
          <w:rFonts w:hint="eastAsia" w:ascii="Times New Roman" w:hAnsi="Times New Roman" w:eastAsia="仿宋_GB2312" w:cs="仿宋_GB2312"/>
          <w:b/>
          <w:bCs/>
          <w:sz w:val="32"/>
          <w:szCs w:val="32"/>
          <w:lang w:eastAsia="zh-CN"/>
        </w:rPr>
        <w:t>（五）张榜标的额：</w:t>
      </w:r>
      <w:r>
        <w:rPr>
          <w:rFonts w:hint="eastAsia" w:ascii="Times New Roman" w:hAnsi="Times New Roman" w:eastAsia="仿宋_GB2312" w:cs="仿宋_GB2312"/>
          <w:b w:val="0"/>
          <w:bCs w:val="0"/>
          <w:sz w:val="32"/>
          <w:szCs w:val="32"/>
          <w:lang w:val="en-US" w:eastAsia="zh-CN"/>
        </w:rPr>
        <w:t>不超过100万</w:t>
      </w:r>
    </w:p>
    <w:p>
      <w:pPr>
        <w:pStyle w:val="3"/>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ascii="Times New Roman" w:hAnsi="Times New Roman" w:eastAsia="仿宋_GB2312"/>
          <w:b/>
          <w:bCs/>
          <w:color w:val="auto"/>
          <w:sz w:val="32"/>
          <w:szCs w:val="32"/>
          <w:shd w:val="clear" w:color="auto" w:fill="FFFFFF"/>
        </w:rPr>
      </w:pPr>
      <w:r>
        <w:rPr>
          <w:rFonts w:hint="eastAsia" w:ascii="Times New Roman" w:hAnsi="Times New Roman" w:eastAsia="方正黑体_GBK" w:cs="方正黑体_GBK"/>
          <w:b w:val="0"/>
          <w:bCs w:val="0"/>
          <w:sz w:val="32"/>
          <w:szCs w:val="32"/>
          <w:lang w:eastAsia="zh-CN"/>
        </w:rPr>
        <w:t>榜单三：</w:t>
      </w:r>
      <w:r>
        <w:rPr>
          <w:rFonts w:hint="eastAsia" w:ascii="Times New Roman" w:hAnsi="Times New Roman" w:eastAsia="黑体" w:cs="黑体"/>
          <w:sz w:val="32"/>
          <w:szCs w:val="32"/>
        </w:rPr>
        <w:t>高品质花生油智能制造的质量精准控制与营养定向提升关键技术研发</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42" w:firstLineChars="200"/>
        <w:jc w:val="left"/>
        <w:textAlignment w:val="auto"/>
        <w:rPr>
          <w:rFonts w:hint="eastAsia" w:ascii="Times New Roman" w:hAnsi="Times New Roman" w:eastAsia="仿宋_GB2312"/>
          <w:b w:val="0"/>
          <w:bCs w:val="0"/>
          <w:color w:val="auto"/>
          <w:sz w:val="32"/>
          <w:szCs w:val="32"/>
          <w:shd w:val="clear" w:color="auto" w:fill="FFFFFF"/>
        </w:rPr>
      </w:pPr>
      <w:r>
        <w:rPr>
          <w:rFonts w:hint="eastAsia" w:ascii="Times New Roman" w:hAnsi="Times New Roman" w:eastAsia="仿宋_GB2312"/>
          <w:b/>
          <w:bCs/>
          <w:color w:val="auto"/>
          <w:sz w:val="32"/>
          <w:szCs w:val="32"/>
          <w:shd w:val="clear" w:color="auto" w:fill="FFFFFF"/>
          <w:lang w:eastAsia="zh-CN"/>
        </w:rPr>
        <w:t>（一）</w:t>
      </w:r>
      <w:r>
        <w:rPr>
          <w:rFonts w:ascii="Times New Roman" w:hAnsi="Times New Roman" w:eastAsia="仿宋_GB2312"/>
          <w:b/>
          <w:bCs/>
          <w:color w:val="auto"/>
          <w:sz w:val="32"/>
          <w:szCs w:val="32"/>
          <w:shd w:val="clear" w:color="auto" w:fill="FFFFFF"/>
        </w:rPr>
        <w:t>研究内容：</w:t>
      </w:r>
      <w:r>
        <w:rPr>
          <w:rFonts w:hint="eastAsia" w:ascii="Times New Roman" w:hAnsi="Times New Roman" w:eastAsia="仿宋_GB2312"/>
          <w:b w:val="0"/>
          <w:bCs w:val="0"/>
          <w:color w:val="auto"/>
          <w:sz w:val="32"/>
          <w:szCs w:val="32"/>
          <w:shd w:val="clear" w:color="auto" w:fill="FFFFFF"/>
        </w:rPr>
        <w:t>针对花生油制品的产品质量稳定性和安全性控制依赖传统手段、没有形成系统化的质量管理流程、难以精准杜绝黄曲霉毒素污染等问题，构建覆盖全流程的智能制造质量管控体系，实现从原料到成品的数字化追溯与智能化预警。</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left"/>
        <w:textAlignment w:val="auto"/>
        <w:rPr>
          <w:rFonts w:hint="eastAsia" w:ascii="Times New Roman" w:hAnsi="Times New Roman" w:eastAsia="仿宋_GB2312"/>
          <w:b w:val="0"/>
          <w:bCs w:val="0"/>
          <w:color w:val="auto"/>
          <w:sz w:val="32"/>
          <w:szCs w:val="32"/>
          <w:shd w:val="clear" w:color="auto" w:fill="FFFFFF"/>
          <w:lang w:eastAsia="zh-CN"/>
        </w:rPr>
      </w:pPr>
      <w:r>
        <w:rPr>
          <w:rFonts w:hint="eastAsia" w:ascii="Times New Roman" w:hAnsi="Times New Roman" w:eastAsia="仿宋_GB2312"/>
          <w:b w:val="0"/>
          <w:bCs w:val="0"/>
          <w:color w:val="auto"/>
          <w:sz w:val="32"/>
          <w:szCs w:val="32"/>
          <w:shd w:val="clear" w:color="auto" w:fill="FFFFFF"/>
        </w:rPr>
        <w:t>针对现有加工工艺对花生油固有的营养健康成分保留与提升不足的问题，开发油脂加工新技术，定向提升花生油中甘油二酯等健康成分含量。</w:t>
      </w:r>
    </w:p>
    <w:p>
      <w:pPr>
        <w:pStyle w:val="3"/>
        <w:keepNext w:val="0"/>
        <w:keepLines w:val="0"/>
        <w:pageBreakBefore w:val="0"/>
        <w:widowControl w:val="0"/>
        <w:kinsoku/>
        <w:wordWrap/>
        <w:overflowPunct/>
        <w:topLinePunct w:val="0"/>
        <w:bidi w:val="0"/>
        <w:snapToGrid/>
        <w:spacing w:after="0" w:line="560" w:lineRule="exact"/>
        <w:ind w:firstLine="642" w:firstLineChars="200"/>
        <w:textAlignment w:val="auto"/>
        <w:rPr>
          <w:rFonts w:hint="eastAsia" w:ascii="Times New Roman" w:hAnsi="Times New Roman" w:eastAsia="仿宋_GB2312"/>
          <w:b w:val="0"/>
          <w:bCs w:val="0"/>
          <w:kern w:val="0"/>
          <w:sz w:val="32"/>
          <w:szCs w:val="32"/>
        </w:rPr>
      </w:pPr>
      <w:r>
        <w:rPr>
          <w:rFonts w:hint="eastAsia" w:ascii="Times New Roman" w:hAnsi="Times New Roman" w:eastAsia="仿宋_GB2312"/>
          <w:b/>
          <w:bCs/>
          <w:sz w:val="32"/>
          <w:szCs w:val="32"/>
          <w:shd w:val="clear" w:color="auto" w:fill="FFFFFF"/>
          <w:lang w:eastAsia="zh-CN"/>
        </w:rPr>
        <w:t>（二）技术</w:t>
      </w:r>
      <w:r>
        <w:rPr>
          <w:rFonts w:ascii="Times New Roman" w:hAnsi="Times New Roman" w:eastAsia="仿宋_GB2312"/>
          <w:b/>
          <w:bCs/>
          <w:sz w:val="32"/>
          <w:szCs w:val="32"/>
          <w:shd w:val="clear" w:color="auto" w:fill="FFFFFF"/>
        </w:rPr>
        <w:t>指标：</w:t>
      </w:r>
      <w:r>
        <w:rPr>
          <w:rFonts w:hint="eastAsia" w:ascii="Times New Roman" w:hAnsi="Times New Roman" w:eastAsia="仿宋_GB2312"/>
          <w:b w:val="0"/>
          <w:bCs w:val="0"/>
          <w:sz w:val="32"/>
          <w:szCs w:val="32"/>
          <w:shd w:val="clear" w:color="auto" w:fill="FFFFFF"/>
          <w:lang w:eastAsia="zh-CN"/>
        </w:rPr>
        <w:t>（</w:t>
      </w:r>
      <w:r>
        <w:rPr>
          <w:rFonts w:hint="eastAsia" w:ascii="Times New Roman" w:hAnsi="Times New Roman" w:eastAsia="仿宋_GB2312"/>
          <w:b w:val="0"/>
          <w:bCs w:val="0"/>
          <w:sz w:val="32"/>
          <w:szCs w:val="32"/>
          <w:shd w:val="clear" w:color="auto" w:fill="FFFFFF"/>
          <w:lang w:val="en-US" w:eastAsia="zh-CN"/>
        </w:rPr>
        <w:t>1</w:t>
      </w:r>
      <w:r>
        <w:rPr>
          <w:rFonts w:hint="eastAsia" w:ascii="Times New Roman" w:hAnsi="Times New Roman" w:eastAsia="仿宋_GB2312"/>
          <w:b w:val="0"/>
          <w:bCs w:val="0"/>
          <w:sz w:val="32"/>
          <w:szCs w:val="32"/>
          <w:shd w:val="clear" w:color="auto" w:fill="FFFFFF"/>
        </w:rPr>
        <w:t>）产品一次检验合格率≥98.5%，异常工艺的智能预警与初步诊断响应时间≤60分钟；</w:t>
      </w:r>
      <w:r>
        <w:rPr>
          <w:rFonts w:hint="eastAsia" w:ascii="Times New Roman" w:hAnsi="Times New Roman" w:eastAsia="仿宋_GB2312"/>
          <w:b w:val="0"/>
          <w:bCs w:val="0"/>
          <w:sz w:val="32"/>
          <w:szCs w:val="32"/>
          <w:shd w:val="clear" w:color="auto" w:fill="FFFFFF"/>
          <w:lang w:eastAsia="zh-CN"/>
        </w:rPr>
        <w:t>（</w:t>
      </w:r>
      <w:r>
        <w:rPr>
          <w:rFonts w:hint="eastAsia" w:ascii="Times New Roman" w:hAnsi="Times New Roman" w:eastAsia="仿宋_GB2312"/>
          <w:b w:val="0"/>
          <w:bCs w:val="0"/>
          <w:sz w:val="32"/>
          <w:szCs w:val="32"/>
          <w:shd w:val="clear" w:color="auto" w:fill="FFFFFF"/>
          <w:lang w:val="en-US" w:eastAsia="zh-CN"/>
        </w:rPr>
        <w:t>2</w:t>
      </w:r>
      <w:r>
        <w:rPr>
          <w:rFonts w:hint="eastAsia" w:ascii="Times New Roman" w:hAnsi="Times New Roman" w:eastAsia="仿宋_GB2312"/>
          <w:b w:val="0"/>
          <w:bCs w:val="0"/>
          <w:sz w:val="32"/>
          <w:szCs w:val="32"/>
          <w:shd w:val="clear" w:color="auto" w:fill="FFFFFF"/>
        </w:rPr>
        <w:t>）黄曲霉毒素污染率低于国标30%以上；</w:t>
      </w:r>
      <w:r>
        <w:rPr>
          <w:rFonts w:hint="eastAsia" w:ascii="Times New Roman" w:hAnsi="Times New Roman" w:eastAsia="仿宋_GB2312"/>
          <w:b w:val="0"/>
          <w:bCs w:val="0"/>
          <w:sz w:val="32"/>
          <w:szCs w:val="32"/>
          <w:shd w:val="clear" w:color="auto" w:fill="FFFFFF"/>
          <w:lang w:eastAsia="zh-CN"/>
        </w:rPr>
        <w:t>（</w:t>
      </w:r>
      <w:r>
        <w:rPr>
          <w:rFonts w:hint="eastAsia" w:ascii="Times New Roman" w:hAnsi="Times New Roman" w:eastAsia="仿宋_GB2312"/>
          <w:b w:val="0"/>
          <w:bCs w:val="0"/>
          <w:sz w:val="32"/>
          <w:szCs w:val="32"/>
          <w:shd w:val="clear" w:color="auto" w:fill="FFFFFF"/>
          <w:lang w:val="en-US" w:eastAsia="zh-CN"/>
        </w:rPr>
        <w:t>3</w:t>
      </w:r>
      <w:r>
        <w:rPr>
          <w:rFonts w:hint="eastAsia" w:ascii="Times New Roman" w:hAnsi="Times New Roman" w:eastAsia="仿宋_GB2312"/>
          <w:b w:val="0"/>
          <w:bCs w:val="0"/>
          <w:sz w:val="32"/>
          <w:szCs w:val="32"/>
          <w:shd w:val="clear" w:color="auto" w:fill="FFFFFF"/>
        </w:rPr>
        <w:t>）多不饱和脂肪酸含量损失率≤20%。</w:t>
      </w:r>
    </w:p>
    <w:p>
      <w:pPr>
        <w:pStyle w:val="3"/>
        <w:keepNext w:val="0"/>
        <w:keepLines w:val="0"/>
        <w:pageBreakBefore w:val="0"/>
        <w:widowControl w:val="0"/>
        <w:kinsoku/>
        <w:wordWrap/>
        <w:overflowPunct/>
        <w:topLinePunct w:val="0"/>
        <w:bidi w:val="0"/>
        <w:snapToGrid/>
        <w:spacing w:after="0" w:line="560" w:lineRule="exact"/>
        <w:ind w:firstLine="642" w:firstLineChars="200"/>
        <w:textAlignment w:val="auto"/>
        <w:rPr>
          <w:rFonts w:hint="eastAsia" w:ascii="Times New Roman" w:hAnsi="Times New Roman" w:eastAsia="仿宋_GB2312"/>
          <w:b w:val="0"/>
          <w:bCs w:val="0"/>
          <w:sz w:val="32"/>
          <w:szCs w:val="32"/>
          <w:shd w:val="clear" w:color="auto" w:fill="FFFFFF"/>
          <w:lang w:eastAsia="zh-CN"/>
        </w:rPr>
      </w:pPr>
      <w:r>
        <w:rPr>
          <w:rFonts w:hint="eastAsia" w:ascii="Times New Roman" w:hAnsi="Times New Roman" w:eastAsia="仿宋_GB2312"/>
          <w:b/>
          <w:bCs/>
          <w:sz w:val="32"/>
          <w:szCs w:val="32"/>
          <w:shd w:val="clear" w:color="auto" w:fill="FFFFFF"/>
          <w:lang w:eastAsia="zh-CN"/>
        </w:rPr>
        <w:t>（三）项目交示件：</w:t>
      </w:r>
      <w:r>
        <w:rPr>
          <w:rFonts w:hint="eastAsia" w:ascii="Times New Roman" w:hAnsi="Times New Roman" w:eastAsia="仿宋_GB2312"/>
          <w:b w:val="0"/>
          <w:bCs w:val="0"/>
          <w:sz w:val="32"/>
          <w:szCs w:val="32"/>
          <w:shd w:val="clear" w:color="auto" w:fill="FFFFFF"/>
          <w:lang w:eastAsia="zh-CN"/>
        </w:rPr>
        <w:t>（</w:t>
      </w:r>
      <w:r>
        <w:rPr>
          <w:rFonts w:hint="eastAsia" w:ascii="Times New Roman" w:hAnsi="Times New Roman" w:eastAsia="仿宋_GB2312"/>
          <w:b w:val="0"/>
          <w:bCs w:val="0"/>
          <w:sz w:val="32"/>
          <w:szCs w:val="32"/>
          <w:shd w:val="clear" w:color="auto" w:fill="FFFFFF"/>
          <w:lang w:val="en-US" w:eastAsia="zh-CN"/>
        </w:rPr>
        <w:t>1</w:t>
      </w:r>
      <w:r>
        <w:rPr>
          <w:rFonts w:hint="eastAsia" w:ascii="Times New Roman" w:hAnsi="Times New Roman" w:eastAsia="仿宋_GB2312"/>
          <w:b w:val="0"/>
          <w:bCs w:val="0"/>
          <w:sz w:val="32"/>
          <w:szCs w:val="32"/>
          <w:shd w:val="clear" w:color="auto" w:fill="FFFFFF"/>
          <w:lang w:eastAsia="zh-CN"/>
        </w:rPr>
        <w:t>）花生油加工全链条质量安全智能制造质量管控系统1套；（2）黄曲霉毒素内控质量标准1套；（</w:t>
      </w:r>
      <w:r>
        <w:rPr>
          <w:rFonts w:hint="eastAsia" w:ascii="Times New Roman" w:hAnsi="Times New Roman" w:eastAsia="仿宋_GB2312"/>
          <w:b w:val="0"/>
          <w:bCs w:val="0"/>
          <w:sz w:val="32"/>
          <w:szCs w:val="32"/>
          <w:shd w:val="clear" w:color="auto" w:fill="FFFFFF"/>
          <w:lang w:val="en-US" w:eastAsia="zh-CN"/>
        </w:rPr>
        <w:t>3</w:t>
      </w:r>
      <w:r>
        <w:rPr>
          <w:rFonts w:hint="eastAsia" w:ascii="Times New Roman" w:hAnsi="Times New Roman" w:eastAsia="仿宋_GB2312"/>
          <w:b w:val="0"/>
          <w:bCs w:val="0"/>
          <w:sz w:val="32"/>
          <w:szCs w:val="32"/>
          <w:shd w:val="clear" w:color="auto" w:fill="FFFFFF"/>
          <w:lang w:eastAsia="zh-CN"/>
        </w:rPr>
        <w:t>）营养定向提升花生油生产工艺规程1套、标准操作规程1套。</w:t>
      </w:r>
    </w:p>
    <w:p>
      <w:pPr>
        <w:pStyle w:val="3"/>
        <w:keepNext w:val="0"/>
        <w:keepLines w:val="0"/>
        <w:pageBreakBefore w:val="0"/>
        <w:widowControl w:val="0"/>
        <w:kinsoku/>
        <w:wordWrap/>
        <w:overflowPunct/>
        <w:topLinePunct w:val="0"/>
        <w:bidi w:val="0"/>
        <w:snapToGrid/>
        <w:spacing w:after="0" w:line="560" w:lineRule="exact"/>
        <w:ind w:firstLine="642" w:firstLineChars="200"/>
        <w:textAlignment w:val="auto"/>
        <w:rPr>
          <w:rFonts w:hint="default" w:ascii="Times New Roman" w:hAnsi="Times New Roman" w:eastAsia="仿宋_GB2312"/>
          <w:b w:val="0"/>
          <w:bCs w:val="0"/>
          <w:sz w:val="32"/>
          <w:szCs w:val="32"/>
          <w:shd w:val="clear" w:color="auto" w:fill="FFFFFF"/>
          <w:lang w:val="en-US" w:eastAsia="zh-CN"/>
        </w:rPr>
      </w:pPr>
      <w:r>
        <w:rPr>
          <w:rFonts w:hint="eastAsia" w:ascii="Times New Roman" w:hAnsi="Times New Roman" w:eastAsia="仿宋_GB2312"/>
          <w:b/>
          <w:bCs/>
          <w:sz w:val="32"/>
          <w:szCs w:val="32"/>
          <w:shd w:val="clear" w:color="auto" w:fill="FFFFFF"/>
          <w:lang w:eastAsia="zh-CN"/>
        </w:rPr>
        <w:t>（四）项目完成时间：</w:t>
      </w:r>
      <w:r>
        <w:rPr>
          <w:rFonts w:hint="eastAsia" w:ascii="Times New Roman" w:hAnsi="Times New Roman" w:eastAsia="仿宋_GB2312"/>
          <w:b w:val="0"/>
          <w:bCs w:val="0"/>
          <w:sz w:val="32"/>
          <w:szCs w:val="32"/>
          <w:shd w:val="clear" w:color="auto" w:fill="FFFFFF"/>
          <w:lang w:val="en-US" w:eastAsia="zh-CN"/>
        </w:rPr>
        <w:t>24个月</w:t>
      </w:r>
    </w:p>
    <w:p>
      <w:pPr>
        <w:keepNext w:val="0"/>
        <w:keepLines w:val="0"/>
        <w:pageBreakBefore w:val="0"/>
        <w:widowControl w:val="0"/>
        <w:kinsoku/>
        <w:wordWrap/>
        <w:overflowPunct/>
        <w:topLinePunct w:val="0"/>
        <w:bidi w:val="0"/>
        <w:snapToGrid/>
        <w:spacing w:line="560" w:lineRule="exact"/>
        <w:ind w:firstLine="642" w:firstLineChars="200"/>
        <w:textAlignment w:val="auto"/>
        <w:rPr>
          <w:rFonts w:hint="default" w:ascii="Times New Roman" w:hAnsi="Times New Roman" w:eastAsia="仿宋_GB2312" w:cs="Times New Roman"/>
          <w:b/>
          <w:bCs/>
          <w:kern w:val="2"/>
          <w:sz w:val="32"/>
          <w:szCs w:val="32"/>
          <w:shd w:val="clear" w:color="auto" w:fill="FFFFFF"/>
          <w:lang w:val="en-US" w:eastAsia="zh-CN" w:bidi="ar-SA"/>
        </w:rPr>
      </w:pPr>
      <w:r>
        <w:rPr>
          <w:rFonts w:hint="eastAsia" w:ascii="Times New Roman" w:hAnsi="Times New Roman" w:eastAsia="仿宋_GB2312" w:cs="Times New Roman"/>
          <w:b/>
          <w:bCs/>
          <w:kern w:val="2"/>
          <w:sz w:val="32"/>
          <w:szCs w:val="32"/>
          <w:shd w:val="clear" w:color="auto" w:fill="FFFFFF"/>
          <w:lang w:val="en-US" w:eastAsia="zh-CN" w:bidi="ar-SA"/>
        </w:rPr>
        <w:t>（五）张榜标的额：</w:t>
      </w:r>
      <w:r>
        <w:rPr>
          <w:rFonts w:hint="eastAsia" w:ascii="Times New Roman" w:hAnsi="Times New Roman" w:eastAsia="仿宋_GB2312" w:cs="Times New Roman"/>
          <w:b w:val="0"/>
          <w:bCs w:val="0"/>
          <w:kern w:val="2"/>
          <w:sz w:val="32"/>
          <w:szCs w:val="32"/>
          <w:shd w:val="clear" w:color="auto" w:fill="FFFFFF"/>
          <w:lang w:val="en-US" w:eastAsia="zh-CN" w:bidi="ar-SA"/>
        </w:rPr>
        <w:t>不超过280万元</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Times New Roman" w:hAnsi="Times New Roman" w:eastAsia="仿宋_GB2312" w:cs="仿宋_GB2312"/>
          <w:sz w:val="30"/>
          <w:szCs w:val="30"/>
        </w:rPr>
        <w:sectPr>
          <w:pgSz w:w="11906" w:h="16838"/>
          <w:pgMar w:top="2098" w:right="1474" w:bottom="1984" w:left="1587" w:header="851" w:footer="992" w:gutter="0"/>
          <w:pgBorders>
            <w:top w:val="none" w:sz="0" w:space="0"/>
            <w:left w:val="none" w:sz="0" w:space="0"/>
            <w:bottom w:val="none" w:sz="0" w:space="0"/>
            <w:right w:val="none" w:sz="0" w:space="0"/>
          </w:pgBorders>
          <w:cols w:space="720" w:num="1"/>
          <w:docGrid w:type="lines" w:linePitch="312" w:charSpace="0"/>
        </w:sectPr>
      </w:pPr>
    </w:p>
    <w:p>
      <w:pPr>
        <w:spacing w:line="560" w:lineRule="exact"/>
        <w:ind w:firstLine="640" w:firstLineChars="200"/>
        <w:rPr>
          <w:rFonts w:hint="eastAsia" w:ascii="Times New Roman" w:hAnsi="Times New Roman" w:eastAsia="黑体" w:cs="黑体"/>
          <w:b w:val="0"/>
          <w:bCs w:val="0"/>
          <w:sz w:val="32"/>
          <w:szCs w:val="32"/>
        </w:rPr>
      </w:pPr>
      <w:r>
        <w:rPr>
          <w:rFonts w:hint="eastAsia" w:ascii="Times New Roman" w:hAnsi="Times New Roman" w:eastAsia="黑体" w:cs="黑体"/>
          <w:b w:val="0"/>
          <w:bCs w:val="0"/>
          <w:sz w:val="32"/>
          <w:szCs w:val="32"/>
          <w:lang w:val="en-US" w:eastAsia="zh-CN"/>
        </w:rPr>
        <w:t>榜单四：</w:t>
      </w:r>
      <w:r>
        <w:rPr>
          <w:rFonts w:hint="eastAsia" w:ascii="Times New Roman" w:hAnsi="Times New Roman" w:eastAsia="黑体" w:cs="黑体"/>
          <w:sz w:val="32"/>
          <w:szCs w:val="32"/>
        </w:rPr>
        <w:t>高端进口海产品长期保活与品质提升关键技术研究</w:t>
      </w:r>
    </w:p>
    <w:p>
      <w:pPr>
        <w:numPr>
          <w:ilvl w:val="0"/>
          <w:numId w:val="0"/>
        </w:numPr>
        <w:adjustRightInd w:val="0"/>
        <w:snapToGrid w:val="0"/>
        <w:spacing w:line="560" w:lineRule="exact"/>
        <w:ind w:firstLine="642" w:firstLineChars="200"/>
        <w:rPr>
          <w:rFonts w:hint="eastAsia" w:ascii="Times New Roman" w:hAnsi="Times New Roman" w:eastAsia="仿宋_GB2312" w:cs="仿宋_GB2312"/>
          <w:sz w:val="32"/>
          <w:szCs w:val="32"/>
          <w:shd w:val="clear" w:color="auto" w:fill="FFFFFF"/>
        </w:rPr>
      </w:pPr>
      <w:r>
        <w:rPr>
          <w:rFonts w:hint="eastAsia" w:ascii="Times New Roman" w:hAnsi="Times New Roman" w:eastAsia="仿宋_GB2312" w:cs="仿宋_GB2312"/>
          <w:b/>
          <w:bCs/>
          <w:sz w:val="32"/>
          <w:szCs w:val="32"/>
        </w:rPr>
        <w:t>（一）研究内容：</w:t>
      </w:r>
      <w:r>
        <w:rPr>
          <w:rFonts w:hint="eastAsia" w:ascii="Times New Roman" w:hAnsi="Times New Roman" w:eastAsia="仿宋_GB2312" w:cs="仿宋_GB2312"/>
          <w:sz w:val="32"/>
          <w:szCs w:val="32"/>
        </w:rPr>
        <w:t>针对帝王蟹、雪蟹、波士顿龙虾</w:t>
      </w:r>
      <w:r>
        <w:rPr>
          <w:rFonts w:hint="eastAsia" w:ascii="Times New Roman" w:hAnsi="Times New Roman" w:eastAsia="仿宋_GB2312" w:cs="仿宋_GB2312"/>
          <w:sz w:val="32"/>
          <w:szCs w:val="32"/>
          <w:lang w:val="en-US" w:eastAsia="zh-CN"/>
        </w:rPr>
        <w:t>三种</w:t>
      </w:r>
      <w:r>
        <w:rPr>
          <w:rFonts w:hint="eastAsia" w:ascii="Times New Roman" w:hAnsi="Times New Roman" w:eastAsia="仿宋_GB2312" w:cs="仿宋_GB2312"/>
          <w:sz w:val="32"/>
          <w:szCs w:val="32"/>
        </w:rPr>
        <w:t>高端进口活体海产品中转饲养</w:t>
      </w:r>
      <w:r>
        <w:rPr>
          <w:rFonts w:hint="eastAsia" w:ascii="Times New Roman" w:hAnsi="Times New Roman" w:eastAsia="仿宋_GB2312" w:cs="仿宋_GB2312"/>
          <w:sz w:val="32"/>
          <w:szCs w:val="32"/>
          <w:lang w:val="en-US" w:eastAsia="zh-CN"/>
        </w:rPr>
        <w:t>鲜活率低的问题</w:t>
      </w:r>
      <w:r>
        <w:rPr>
          <w:rFonts w:hint="eastAsia" w:ascii="Times New Roman" w:hAnsi="Times New Roman" w:eastAsia="仿宋_GB2312" w:cs="仿宋_GB2312"/>
          <w:sz w:val="32"/>
          <w:szCs w:val="32"/>
        </w:rPr>
        <w:t>，研发一套集封闭循环水系统、水质精准调控</w:t>
      </w:r>
      <w:r>
        <w:rPr>
          <w:rFonts w:hint="eastAsia" w:ascii="Times New Roman" w:hAnsi="Times New Roman" w:eastAsia="仿宋_GB2312" w:cs="仿宋_GB2312"/>
          <w:sz w:val="32"/>
          <w:szCs w:val="32"/>
          <w:lang w:val="en-US" w:eastAsia="zh-CN"/>
        </w:rPr>
        <w:t>系统</w:t>
      </w:r>
      <w:r>
        <w:rPr>
          <w:rFonts w:hint="eastAsia" w:ascii="Times New Roman" w:hAnsi="Times New Roman" w:eastAsia="仿宋_GB2312" w:cs="仿宋_GB2312"/>
          <w:sz w:val="32"/>
          <w:szCs w:val="32"/>
        </w:rPr>
        <w:t>、应激反应控制</w:t>
      </w:r>
      <w:r>
        <w:rPr>
          <w:rFonts w:hint="eastAsia" w:ascii="Times New Roman" w:hAnsi="Times New Roman" w:eastAsia="仿宋_GB2312" w:cs="仿宋_GB2312"/>
          <w:sz w:val="32"/>
          <w:szCs w:val="32"/>
          <w:lang w:val="en-US" w:eastAsia="zh-CN"/>
        </w:rPr>
        <w:t>系统</w:t>
      </w:r>
      <w:r>
        <w:rPr>
          <w:rFonts w:hint="eastAsia" w:ascii="Times New Roman" w:hAnsi="Times New Roman" w:eastAsia="仿宋_GB2312" w:cs="仿宋_GB2312"/>
          <w:sz w:val="32"/>
          <w:szCs w:val="32"/>
        </w:rPr>
        <w:t>与专用配合饲料于一体</w:t>
      </w:r>
      <w:r>
        <w:rPr>
          <w:rFonts w:hint="eastAsia" w:ascii="Times New Roman" w:hAnsi="Times New Roman" w:eastAsia="仿宋_GB2312" w:cs="仿宋_GB2312"/>
          <w:sz w:val="32"/>
          <w:szCs w:val="32"/>
          <w:lang w:val="en-US" w:eastAsia="zh-CN"/>
        </w:rPr>
        <w:t>的活体暂养系统</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rPr>
        <w:t>提高中转饲养期间存活率并改善产品品质</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rPr>
        <w:t>延长保活期，突破产业瓶颈。</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2" w:firstLineChars="200"/>
        <w:textAlignment w:val="auto"/>
        <w:rPr>
          <w:rFonts w:hint="eastAsia" w:ascii="Times New Roman" w:hAnsi="Times New Roman" w:eastAsia="仿宋_GB2312" w:cs="仿宋_GB2312"/>
          <w:b w:val="0"/>
          <w:bCs w:val="0"/>
          <w:sz w:val="32"/>
          <w:szCs w:val="32"/>
        </w:rPr>
      </w:pPr>
      <w:r>
        <w:rPr>
          <w:rFonts w:hint="eastAsia" w:ascii="Times New Roman" w:hAnsi="Times New Roman" w:eastAsia="仿宋_GB2312" w:cs="仿宋_GB2312"/>
          <w:b/>
          <w:bCs/>
          <w:sz w:val="32"/>
          <w:szCs w:val="32"/>
        </w:rPr>
        <w:t>（二）</w:t>
      </w:r>
      <w:r>
        <w:rPr>
          <w:rFonts w:hint="eastAsia" w:ascii="Times New Roman" w:hAnsi="Times New Roman" w:eastAsia="仿宋_GB2312" w:cs="仿宋_GB2312"/>
          <w:b/>
          <w:bCs/>
          <w:sz w:val="32"/>
          <w:szCs w:val="32"/>
          <w:lang w:eastAsia="zh-CN"/>
        </w:rPr>
        <w:t>技术</w:t>
      </w:r>
      <w:r>
        <w:rPr>
          <w:rFonts w:hint="eastAsia" w:ascii="Times New Roman" w:hAnsi="Times New Roman" w:eastAsia="仿宋_GB2312" w:cs="仿宋_GB2312"/>
          <w:b/>
          <w:bCs/>
          <w:sz w:val="32"/>
          <w:szCs w:val="32"/>
        </w:rPr>
        <w:t>指标：</w:t>
      </w:r>
      <w:r>
        <w:rPr>
          <w:rFonts w:hint="eastAsia" w:ascii="Times New Roman" w:hAnsi="Times New Roman" w:eastAsia="仿宋_GB2312" w:cs="仿宋_GB2312"/>
          <w:b w:val="0"/>
          <w:bCs w:val="0"/>
          <w:sz w:val="32"/>
          <w:szCs w:val="32"/>
          <w:lang w:eastAsia="zh-CN"/>
        </w:rPr>
        <w:t>（</w:t>
      </w:r>
      <w:r>
        <w:rPr>
          <w:rFonts w:hint="eastAsia" w:ascii="Times New Roman" w:hAnsi="Times New Roman" w:eastAsia="仿宋_GB2312" w:cs="仿宋_GB2312"/>
          <w:b w:val="0"/>
          <w:bCs w:val="0"/>
          <w:sz w:val="32"/>
          <w:szCs w:val="32"/>
          <w:lang w:val="en-US" w:eastAsia="zh-CN"/>
        </w:rPr>
        <w:t>1</w:t>
      </w:r>
      <w:r>
        <w:rPr>
          <w:rFonts w:hint="eastAsia" w:ascii="Times New Roman" w:hAnsi="Times New Roman" w:eastAsia="仿宋_GB2312" w:cs="仿宋_GB2312"/>
          <w:b w:val="0"/>
          <w:bCs w:val="0"/>
          <w:sz w:val="32"/>
          <w:szCs w:val="32"/>
          <w:lang w:eastAsia="zh-CN"/>
        </w:rPr>
        <w:t>）</w:t>
      </w:r>
      <w:r>
        <w:rPr>
          <w:rFonts w:hint="eastAsia" w:ascii="Times New Roman" w:hAnsi="Times New Roman" w:eastAsia="仿宋_GB2312" w:cs="仿宋_GB2312"/>
          <w:b w:val="0"/>
          <w:bCs w:val="0"/>
          <w:sz w:val="32"/>
          <w:szCs w:val="32"/>
        </w:rPr>
        <w:t>三</w:t>
      </w:r>
      <w:r>
        <w:rPr>
          <w:rFonts w:hint="eastAsia" w:ascii="Times New Roman" w:hAnsi="Times New Roman" w:eastAsia="仿宋_GB2312" w:cs="仿宋_GB2312"/>
          <w:b w:val="0"/>
          <w:bCs w:val="0"/>
          <w:sz w:val="32"/>
          <w:szCs w:val="32"/>
          <w:lang w:val="en-US" w:eastAsia="zh-CN"/>
        </w:rPr>
        <w:t>个</w:t>
      </w:r>
      <w:r>
        <w:rPr>
          <w:rFonts w:hint="eastAsia" w:ascii="Times New Roman" w:hAnsi="Times New Roman" w:eastAsia="仿宋_GB2312" w:cs="仿宋_GB2312"/>
          <w:b w:val="0"/>
          <w:bCs w:val="0"/>
          <w:sz w:val="32"/>
          <w:szCs w:val="32"/>
        </w:rPr>
        <w:t>物种在暂养基地的存活期</w:t>
      </w:r>
      <w:r>
        <w:rPr>
          <w:rFonts w:hint="eastAsia" w:ascii="Times New Roman" w:hAnsi="Times New Roman" w:eastAsia="仿宋_GB2312" w:cs="仿宋_GB2312"/>
          <w:b w:val="0"/>
          <w:bCs w:val="0"/>
          <w:sz w:val="32"/>
          <w:szCs w:val="32"/>
          <w:lang w:val="en-US" w:eastAsia="zh-CN"/>
        </w:rPr>
        <w:t>达到</w:t>
      </w:r>
      <w:r>
        <w:rPr>
          <w:rFonts w:hint="eastAsia" w:ascii="Times New Roman" w:hAnsi="Times New Roman" w:eastAsia="仿宋_GB2312" w:cs="仿宋_GB2312"/>
          <w:b w:val="0"/>
          <w:bCs w:val="0"/>
          <w:sz w:val="32"/>
          <w:szCs w:val="32"/>
        </w:rPr>
        <w:t>3个月以上；</w:t>
      </w:r>
      <w:bookmarkStart w:id="0" w:name="OLE_LINK1"/>
      <w:r>
        <w:rPr>
          <w:rFonts w:hint="eastAsia" w:ascii="Times New Roman" w:hAnsi="Times New Roman" w:eastAsia="仿宋_GB2312" w:cs="仿宋_GB2312"/>
          <w:b w:val="0"/>
          <w:bCs w:val="0"/>
          <w:sz w:val="32"/>
          <w:szCs w:val="32"/>
          <w:lang w:eastAsia="zh-CN"/>
        </w:rPr>
        <w:t>（</w:t>
      </w:r>
      <w:r>
        <w:rPr>
          <w:rFonts w:hint="eastAsia" w:ascii="Times New Roman" w:hAnsi="Times New Roman" w:eastAsia="仿宋_GB2312" w:cs="仿宋_GB2312"/>
          <w:b w:val="0"/>
          <w:bCs w:val="0"/>
          <w:sz w:val="32"/>
          <w:szCs w:val="32"/>
          <w:lang w:val="en-US" w:eastAsia="zh-CN"/>
        </w:rPr>
        <w:t>2</w:t>
      </w:r>
      <w:r>
        <w:rPr>
          <w:rFonts w:hint="eastAsia" w:ascii="Times New Roman" w:hAnsi="Times New Roman" w:eastAsia="仿宋_GB2312" w:cs="仿宋_GB2312"/>
          <w:b w:val="0"/>
          <w:bCs w:val="0"/>
          <w:sz w:val="32"/>
          <w:szCs w:val="32"/>
          <w:lang w:eastAsia="zh-CN"/>
        </w:rPr>
        <w:t>）</w:t>
      </w:r>
      <w:r>
        <w:rPr>
          <w:rFonts w:hint="eastAsia" w:ascii="Times New Roman" w:hAnsi="Times New Roman" w:eastAsia="仿宋_GB2312" w:cs="仿宋_GB2312"/>
          <w:b w:val="0"/>
          <w:bCs w:val="0"/>
          <w:sz w:val="32"/>
          <w:szCs w:val="32"/>
          <w:lang w:val="en-US" w:eastAsia="zh-CN"/>
        </w:rPr>
        <w:t>研发三个物种成体养殖</w:t>
      </w:r>
      <w:r>
        <w:rPr>
          <w:rFonts w:hint="eastAsia" w:ascii="Times New Roman" w:hAnsi="Times New Roman" w:eastAsia="仿宋_GB2312" w:cs="仿宋_GB2312"/>
          <w:b w:val="0"/>
          <w:bCs w:val="0"/>
          <w:sz w:val="32"/>
          <w:szCs w:val="32"/>
        </w:rPr>
        <w:t>专用配</w:t>
      </w:r>
      <w:r>
        <w:rPr>
          <w:rFonts w:hint="eastAsia" w:ascii="Times New Roman" w:hAnsi="Times New Roman" w:eastAsia="仿宋_GB2312" w:cs="仿宋_GB2312"/>
          <w:b w:val="0"/>
          <w:bCs w:val="0"/>
          <w:sz w:val="32"/>
          <w:szCs w:val="32"/>
          <w:lang w:val="en-US" w:eastAsia="zh-CN"/>
        </w:rPr>
        <w:t>合</w:t>
      </w:r>
      <w:r>
        <w:rPr>
          <w:rFonts w:hint="eastAsia" w:ascii="Times New Roman" w:hAnsi="Times New Roman" w:eastAsia="仿宋_GB2312" w:cs="仿宋_GB2312"/>
          <w:b w:val="0"/>
          <w:bCs w:val="0"/>
          <w:sz w:val="32"/>
          <w:szCs w:val="32"/>
        </w:rPr>
        <w:t>饲料</w:t>
      </w:r>
      <w:bookmarkEnd w:id="0"/>
      <w:r>
        <w:rPr>
          <w:rFonts w:hint="eastAsia" w:ascii="Times New Roman" w:hAnsi="Times New Roman" w:eastAsia="仿宋_GB2312" w:cs="仿宋_GB2312"/>
          <w:b w:val="0"/>
          <w:bCs w:val="0"/>
          <w:sz w:val="32"/>
          <w:szCs w:val="32"/>
          <w:lang w:val="en-US" w:eastAsia="zh-CN"/>
        </w:rPr>
        <w:t>配方各1个</w:t>
      </w:r>
      <w:r>
        <w:rPr>
          <w:rFonts w:hint="eastAsia" w:ascii="Times New Roman" w:hAnsi="Times New Roman" w:eastAsia="仿宋_GB2312" w:cs="仿宋_GB2312"/>
          <w:b w:val="0"/>
          <w:bCs w:val="0"/>
          <w:sz w:val="32"/>
          <w:szCs w:val="32"/>
          <w:lang w:eastAsia="zh-CN"/>
        </w:rPr>
        <w:t>；（</w:t>
      </w:r>
      <w:r>
        <w:rPr>
          <w:rFonts w:hint="eastAsia" w:ascii="Times New Roman" w:hAnsi="Times New Roman" w:eastAsia="仿宋_GB2312" w:cs="仿宋_GB2312"/>
          <w:b w:val="0"/>
          <w:bCs w:val="0"/>
          <w:sz w:val="32"/>
          <w:szCs w:val="32"/>
          <w:lang w:val="en-US" w:eastAsia="zh-CN"/>
        </w:rPr>
        <w:t>3</w:t>
      </w:r>
      <w:r>
        <w:rPr>
          <w:rFonts w:hint="eastAsia" w:ascii="Times New Roman" w:hAnsi="Times New Roman" w:eastAsia="仿宋_GB2312" w:cs="仿宋_GB2312"/>
          <w:b w:val="0"/>
          <w:bCs w:val="0"/>
          <w:sz w:val="32"/>
          <w:szCs w:val="32"/>
          <w:lang w:eastAsia="zh-CN"/>
        </w:rPr>
        <w:t>）</w:t>
      </w:r>
      <w:r>
        <w:rPr>
          <w:rFonts w:hint="eastAsia" w:ascii="Times New Roman" w:hAnsi="Times New Roman" w:eastAsia="仿宋_GB2312" w:cs="仿宋_GB2312"/>
          <w:b w:val="0"/>
          <w:bCs w:val="0"/>
          <w:sz w:val="32"/>
          <w:szCs w:val="32"/>
          <w:lang w:val="en-US" w:eastAsia="zh-CN"/>
        </w:rPr>
        <w:t>至少建立1套</w:t>
      </w:r>
      <w:r>
        <w:rPr>
          <w:rFonts w:hint="eastAsia" w:ascii="Times New Roman" w:hAnsi="Times New Roman" w:eastAsia="仿宋_GB2312" w:cs="仿宋_GB2312"/>
          <w:b w:val="0"/>
          <w:bCs w:val="0"/>
          <w:sz w:val="32"/>
          <w:szCs w:val="32"/>
        </w:rPr>
        <w:t>适合</w:t>
      </w:r>
      <w:r>
        <w:rPr>
          <w:rFonts w:hint="eastAsia" w:ascii="Times New Roman" w:hAnsi="Times New Roman" w:eastAsia="仿宋_GB2312" w:cs="仿宋_GB2312"/>
          <w:b w:val="0"/>
          <w:bCs w:val="0"/>
          <w:sz w:val="32"/>
          <w:szCs w:val="32"/>
          <w:lang w:val="en-US" w:eastAsia="zh-CN"/>
        </w:rPr>
        <w:t>上述三个物种存活</w:t>
      </w:r>
      <w:r>
        <w:rPr>
          <w:rFonts w:hint="eastAsia" w:ascii="Times New Roman" w:hAnsi="Times New Roman" w:eastAsia="仿宋_GB2312" w:cs="仿宋_GB2312"/>
          <w:b w:val="0"/>
          <w:bCs w:val="0"/>
          <w:sz w:val="32"/>
          <w:szCs w:val="32"/>
        </w:rPr>
        <w:t>中转饲养封闭水</w:t>
      </w:r>
      <w:r>
        <w:rPr>
          <w:rFonts w:hint="eastAsia" w:ascii="Times New Roman" w:hAnsi="Times New Roman" w:eastAsia="仿宋_GB2312" w:cs="仿宋_GB2312"/>
          <w:b w:val="0"/>
          <w:bCs w:val="0"/>
          <w:sz w:val="32"/>
          <w:szCs w:val="32"/>
          <w:lang w:val="en-US" w:eastAsia="zh-CN"/>
        </w:rPr>
        <w:t>循环</w:t>
      </w:r>
      <w:r>
        <w:rPr>
          <w:rFonts w:hint="eastAsia" w:ascii="Times New Roman" w:hAnsi="Times New Roman" w:eastAsia="仿宋_GB2312" w:cs="仿宋_GB2312"/>
          <w:b w:val="0"/>
          <w:bCs w:val="0"/>
          <w:sz w:val="32"/>
          <w:szCs w:val="32"/>
        </w:rPr>
        <w:t>系统</w:t>
      </w:r>
      <w:r>
        <w:rPr>
          <w:rFonts w:hint="eastAsia" w:ascii="Times New Roman" w:hAnsi="Times New Roman" w:eastAsia="仿宋_GB2312" w:cs="仿宋_GB2312"/>
          <w:b w:val="0"/>
          <w:bCs w:val="0"/>
          <w:sz w:val="32"/>
          <w:szCs w:val="32"/>
          <w:lang w:eastAsia="zh-CN"/>
        </w:rPr>
        <w:t>，</w:t>
      </w:r>
      <w:r>
        <w:rPr>
          <w:rFonts w:hint="eastAsia" w:ascii="Times New Roman" w:hAnsi="Times New Roman" w:eastAsia="仿宋_GB2312" w:cs="仿宋_GB2312"/>
          <w:b w:val="0"/>
          <w:bCs w:val="0"/>
          <w:sz w:val="32"/>
          <w:szCs w:val="32"/>
        </w:rPr>
        <w:t>系统氨氮含量不超过0.5mg/L</w:t>
      </w:r>
      <w:r>
        <w:rPr>
          <w:rFonts w:hint="eastAsia" w:ascii="Times New Roman" w:hAnsi="Times New Roman" w:eastAsia="仿宋_GB2312" w:cs="仿宋_GB2312"/>
          <w:b w:val="0"/>
          <w:bCs w:val="0"/>
          <w:sz w:val="32"/>
          <w:szCs w:val="32"/>
          <w:lang w:eastAsia="zh-CN"/>
        </w:rPr>
        <w:t>，</w:t>
      </w:r>
      <w:r>
        <w:rPr>
          <w:rFonts w:hint="eastAsia" w:ascii="Times New Roman" w:hAnsi="Times New Roman" w:eastAsia="仿宋_GB2312" w:cs="仿宋_GB2312"/>
          <w:b w:val="0"/>
          <w:bCs w:val="0"/>
          <w:sz w:val="32"/>
          <w:szCs w:val="32"/>
          <w:lang w:val="en-US" w:eastAsia="zh-CN"/>
        </w:rPr>
        <w:t>系统优化</w:t>
      </w:r>
      <w:r>
        <w:rPr>
          <w:rFonts w:hint="eastAsia" w:ascii="Times New Roman" w:hAnsi="Times New Roman" w:eastAsia="仿宋_GB2312" w:cs="仿宋_GB2312"/>
          <w:b w:val="0"/>
          <w:bCs w:val="0"/>
          <w:sz w:val="32"/>
          <w:szCs w:val="32"/>
        </w:rPr>
        <w:t>成本不超过80万</w:t>
      </w:r>
      <w:r>
        <w:rPr>
          <w:rFonts w:hint="eastAsia" w:ascii="Times New Roman" w:hAnsi="Times New Roman" w:eastAsia="仿宋_GB2312" w:cs="仿宋_GB2312"/>
          <w:b w:val="0"/>
          <w:bCs w:val="0"/>
          <w:sz w:val="32"/>
          <w:szCs w:val="32"/>
          <w:lang w:val="en-US" w:eastAsia="zh-CN"/>
        </w:rPr>
        <w:t>元</w:t>
      </w:r>
      <w:r>
        <w:rPr>
          <w:rFonts w:hint="eastAsia" w:ascii="Times New Roman" w:hAnsi="Times New Roman" w:eastAsia="仿宋_GB2312" w:cs="仿宋_GB2312"/>
          <w:b w:val="0"/>
          <w:bCs w:val="0"/>
          <w:sz w:val="32"/>
          <w:szCs w:val="32"/>
          <w:lang w:eastAsia="zh-CN"/>
        </w:rPr>
        <w:t>；（</w:t>
      </w:r>
      <w:r>
        <w:rPr>
          <w:rFonts w:hint="eastAsia" w:ascii="Times New Roman" w:hAnsi="Times New Roman" w:eastAsia="仿宋_GB2312" w:cs="仿宋_GB2312"/>
          <w:b w:val="0"/>
          <w:bCs w:val="0"/>
          <w:sz w:val="32"/>
          <w:szCs w:val="32"/>
          <w:lang w:val="en-US" w:eastAsia="zh-CN"/>
        </w:rPr>
        <w:t>4</w:t>
      </w:r>
      <w:r>
        <w:rPr>
          <w:rFonts w:hint="eastAsia" w:ascii="Times New Roman" w:hAnsi="Times New Roman" w:eastAsia="仿宋_GB2312" w:cs="仿宋_GB2312"/>
          <w:b w:val="0"/>
          <w:bCs w:val="0"/>
          <w:sz w:val="32"/>
          <w:szCs w:val="32"/>
          <w:lang w:eastAsia="zh-CN"/>
        </w:rPr>
        <w:t>）</w:t>
      </w:r>
      <w:r>
        <w:rPr>
          <w:rFonts w:hint="eastAsia" w:ascii="Times New Roman" w:hAnsi="Times New Roman" w:eastAsia="仿宋_GB2312" w:cs="仿宋_GB2312"/>
          <w:b w:val="0"/>
          <w:bCs w:val="0"/>
          <w:sz w:val="32"/>
          <w:szCs w:val="32"/>
        </w:rPr>
        <w:t>整体存活率提升</w:t>
      </w:r>
      <w:r>
        <w:rPr>
          <w:rFonts w:hint="eastAsia" w:ascii="Times New Roman" w:hAnsi="Times New Roman" w:eastAsia="仿宋_GB2312" w:cs="仿宋_GB2312"/>
          <w:b w:val="0"/>
          <w:bCs w:val="0"/>
          <w:sz w:val="32"/>
          <w:szCs w:val="32"/>
          <w:lang w:val="en-US" w:eastAsia="zh-CN"/>
        </w:rPr>
        <w:t>到</w:t>
      </w:r>
      <w:r>
        <w:rPr>
          <w:rFonts w:hint="eastAsia" w:ascii="Times New Roman" w:hAnsi="Times New Roman" w:eastAsia="仿宋_GB2312" w:cs="仿宋_GB2312"/>
          <w:b w:val="0"/>
          <w:bCs w:val="0"/>
          <w:sz w:val="32"/>
          <w:szCs w:val="32"/>
        </w:rPr>
        <w:t>90%以上</w:t>
      </w:r>
      <w:r>
        <w:rPr>
          <w:rFonts w:hint="eastAsia" w:ascii="Times New Roman" w:hAnsi="Times New Roman" w:eastAsia="仿宋_GB2312" w:cs="仿宋_GB2312"/>
          <w:b w:val="0"/>
          <w:bCs w:val="0"/>
          <w:sz w:val="32"/>
          <w:szCs w:val="32"/>
          <w:lang w:eastAsia="zh-CN"/>
        </w:rPr>
        <w:t>，</w:t>
      </w:r>
      <w:r>
        <w:rPr>
          <w:rFonts w:hint="eastAsia" w:ascii="Times New Roman" w:hAnsi="Times New Roman" w:eastAsia="仿宋_GB2312" w:cs="仿宋_GB2312"/>
          <w:b w:val="0"/>
          <w:bCs w:val="0"/>
          <w:sz w:val="32"/>
          <w:szCs w:val="32"/>
        </w:rPr>
        <w:t>体重损耗率低于5%</w:t>
      </w:r>
      <w:r>
        <w:rPr>
          <w:rFonts w:hint="eastAsia" w:ascii="Times New Roman" w:hAnsi="Times New Roman" w:eastAsia="仿宋_GB2312" w:cs="仿宋_GB2312"/>
          <w:b w:val="0"/>
          <w:bCs w:val="0"/>
          <w:sz w:val="32"/>
          <w:szCs w:val="32"/>
          <w:lang w:eastAsia="zh-CN"/>
        </w:rPr>
        <w:t>，</w:t>
      </w:r>
      <w:r>
        <w:rPr>
          <w:rFonts w:hint="eastAsia" w:ascii="Times New Roman" w:hAnsi="Times New Roman" w:eastAsia="仿宋_GB2312" w:cs="仿宋_GB2312"/>
          <w:b w:val="0"/>
          <w:bCs w:val="0"/>
          <w:sz w:val="32"/>
          <w:szCs w:val="32"/>
        </w:rPr>
        <w:t>出池时个体肉质饱满紧实，口感鲜美。</w:t>
      </w:r>
    </w:p>
    <w:p>
      <w:pPr>
        <w:numPr>
          <w:ilvl w:val="0"/>
          <w:numId w:val="0"/>
        </w:numPr>
        <w:spacing w:line="560" w:lineRule="exact"/>
        <w:ind w:firstLine="642"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b/>
          <w:bCs/>
          <w:sz w:val="32"/>
          <w:szCs w:val="32"/>
        </w:rPr>
        <w:t>（三）项目交</w:t>
      </w:r>
      <w:r>
        <w:rPr>
          <w:rFonts w:hint="eastAsia" w:ascii="Times New Roman" w:hAnsi="Times New Roman" w:eastAsia="仿宋_GB2312" w:cs="仿宋_GB2312"/>
          <w:b/>
          <w:bCs/>
          <w:sz w:val="32"/>
          <w:szCs w:val="32"/>
          <w:lang w:eastAsia="zh-CN"/>
        </w:rPr>
        <w:t>示</w:t>
      </w:r>
      <w:r>
        <w:rPr>
          <w:rFonts w:hint="eastAsia" w:ascii="Times New Roman" w:hAnsi="Times New Roman" w:eastAsia="仿宋_GB2312" w:cs="仿宋_GB2312"/>
          <w:b/>
          <w:bCs/>
          <w:sz w:val="32"/>
          <w:szCs w:val="32"/>
        </w:rPr>
        <w:t>件：</w:t>
      </w:r>
      <w:r>
        <w:rPr>
          <w:rFonts w:hint="eastAsia" w:ascii="Times New Roman" w:hAnsi="Times New Roman" w:eastAsia="仿宋_GB2312" w:cs="仿宋_GB2312"/>
          <w:b w:val="0"/>
          <w:bCs w:val="0"/>
          <w:sz w:val="32"/>
          <w:szCs w:val="32"/>
          <w:lang w:eastAsia="zh-CN"/>
        </w:rPr>
        <w:t>（</w:t>
      </w:r>
      <w:r>
        <w:rPr>
          <w:rFonts w:hint="eastAsia" w:ascii="Times New Roman" w:hAnsi="Times New Roman" w:eastAsia="仿宋_GB2312" w:cs="仿宋_GB2312"/>
          <w:b w:val="0"/>
          <w:bCs w:val="0"/>
          <w:sz w:val="32"/>
          <w:szCs w:val="32"/>
          <w:lang w:val="en-US" w:eastAsia="zh-CN"/>
        </w:rPr>
        <w:t>1</w:t>
      </w:r>
      <w:r>
        <w:rPr>
          <w:rFonts w:hint="eastAsia" w:ascii="Times New Roman" w:hAnsi="Times New Roman" w:eastAsia="仿宋_GB2312" w:cs="仿宋_GB2312"/>
          <w:b w:val="0"/>
          <w:bCs w:val="0"/>
          <w:sz w:val="32"/>
          <w:szCs w:val="32"/>
          <w:lang w:eastAsia="zh-CN"/>
        </w:rPr>
        <w:t>）</w:t>
      </w:r>
      <w:r>
        <w:rPr>
          <w:rFonts w:hint="eastAsia" w:ascii="Times New Roman" w:hAnsi="Times New Roman" w:eastAsia="仿宋_GB2312" w:cs="仿宋_GB2312"/>
          <w:sz w:val="32"/>
          <w:szCs w:val="32"/>
          <w:lang w:val="en-US" w:eastAsia="zh-CN"/>
        </w:rPr>
        <w:t>三个物种</w:t>
      </w:r>
      <w:r>
        <w:rPr>
          <w:rFonts w:hint="eastAsia" w:ascii="Times New Roman" w:hAnsi="Times New Roman" w:eastAsia="仿宋_GB2312" w:cs="仿宋_GB2312"/>
          <w:sz w:val="32"/>
          <w:szCs w:val="32"/>
        </w:rPr>
        <w:t>的专用配合饲料配方及小批量样品（≥50公斤），第三方饲料检测报告；</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lang w:val="en-US" w:eastAsia="zh-CN"/>
        </w:rPr>
        <w:t>2</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rPr>
        <w:t>循环水暂养系统</w:t>
      </w:r>
      <w:r>
        <w:rPr>
          <w:rFonts w:hint="eastAsia" w:ascii="Times New Roman" w:hAnsi="Times New Roman" w:eastAsia="仿宋_GB2312" w:cs="仿宋_GB2312"/>
          <w:sz w:val="32"/>
          <w:szCs w:val="32"/>
          <w:lang w:val="en-US" w:eastAsia="zh-CN"/>
        </w:rPr>
        <w:t>操作规程1</w:t>
      </w:r>
      <w:r>
        <w:rPr>
          <w:rFonts w:hint="eastAsia" w:ascii="Times New Roman" w:hAnsi="Times New Roman" w:eastAsia="仿宋_GB2312" w:cs="仿宋_GB2312"/>
          <w:sz w:val="32"/>
          <w:szCs w:val="32"/>
        </w:rPr>
        <w:t>套，含水质调控、应激控制、饲料投喂、病害防控、品质提升的完整长期保活工艺。</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b/>
          <w:bCs/>
          <w:sz w:val="32"/>
          <w:szCs w:val="32"/>
        </w:rPr>
        <w:t>（四）项目完成时间：</w:t>
      </w:r>
      <w:r>
        <w:rPr>
          <w:rFonts w:hint="eastAsia" w:ascii="Times New Roman" w:hAnsi="Times New Roman" w:eastAsia="仿宋_GB2312" w:cs="仿宋_GB2312"/>
          <w:sz w:val="32"/>
          <w:szCs w:val="32"/>
          <w:lang w:val="en-US" w:eastAsia="zh-CN"/>
        </w:rPr>
        <w:t>24</w:t>
      </w:r>
      <w:r>
        <w:rPr>
          <w:rFonts w:hint="eastAsia" w:ascii="Times New Roman" w:hAnsi="Times New Roman" w:eastAsia="仿宋_GB2312" w:cs="仿宋_GB2312"/>
          <w:sz w:val="32"/>
          <w:szCs w:val="32"/>
        </w:rPr>
        <w:t>个月</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宋体"/>
          <w:sz w:val="32"/>
          <w:szCs w:val="32"/>
          <w:lang w:val="en-US" w:eastAsia="zh-CN"/>
        </w:rPr>
      </w:pPr>
      <w:r>
        <w:rPr>
          <w:rFonts w:hint="eastAsia" w:ascii="Times New Roman" w:hAnsi="Times New Roman"/>
          <w:sz w:val="32"/>
          <w:szCs w:val="32"/>
          <w:lang w:val="en-US" w:eastAsia="zh-CN"/>
        </w:rPr>
        <w:t xml:space="preserve">    </w:t>
      </w:r>
      <w:r>
        <w:rPr>
          <w:rFonts w:hint="eastAsia" w:ascii="Times New Roman" w:hAnsi="Times New Roman" w:eastAsia="仿宋_GB2312" w:cs="仿宋_GB2312"/>
          <w:b/>
          <w:bCs/>
          <w:sz w:val="32"/>
          <w:szCs w:val="32"/>
          <w:lang w:val="en-US" w:eastAsia="zh-CN"/>
        </w:rPr>
        <w:t>（五）张榜标的额：</w:t>
      </w:r>
      <w:r>
        <w:rPr>
          <w:rFonts w:hint="eastAsia" w:ascii="Times New Roman" w:hAnsi="Times New Roman" w:eastAsia="仿宋_GB2312" w:cs="仿宋_GB2312"/>
          <w:b w:val="0"/>
          <w:bCs w:val="0"/>
          <w:sz w:val="32"/>
          <w:szCs w:val="32"/>
          <w:lang w:val="en-US" w:eastAsia="zh-CN"/>
        </w:rPr>
        <w:t>不超过200万元</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imes New Roman" w:hAnsi="Times New Roman" w:eastAsia="仿宋_GB2312" w:cs="Times New Roman"/>
          <w:sz w:val="32"/>
          <w:szCs w:val="32"/>
          <w:lang w:val="en-US" w:eastAsia="zh-CN"/>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CESI黑体-GB2312">
    <w:panose1 w:val="02000500000000000000"/>
    <w:charset w:val="86"/>
    <w:family w:val="auto"/>
    <w:pitch w:val="default"/>
    <w:sig w:usb0="800002BF" w:usb1="184F6CF8" w:usb2="00000012" w:usb3="00000000" w:csb0="0004000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方正黑体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1947CF"/>
    <w:rsid w:val="4A1947CF"/>
    <w:rsid w:val="7FF7C501"/>
    <w:rsid w:val="F8FF0F87"/>
    <w:rsid w:val="FEF3D2A4"/>
    <w:rsid w:val="FFBF70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unhideWhenUsed/>
    <w:qFormat/>
    <w:uiPriority w:val="9"/>
    <w:pPr>
      <w:keepNext/>
      <w:keepLines/>
      <w:spacing w:before="260" w:after="260" w:line="416" w:lineRule="auto"/>
      <w:outlineLvl w:val="2"/>
    </w:pPr>
    <w:rPr>
      <w:b/>
      <w:bCs/>
      <w:sz w:val="32"/>
      <w:szCs w:val="32"/>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Body Text"/>
    <w:basedOn w:val="1"/>
    <w:unhideWhenUsed/>
    <w:qFormat/>
    <w:uiPriority w:val="99"/>
    <w:pPr>
      <w:widowControl w:val="0"/>
      <w:spacing w:after="120"/>
      <w:jc w:val="both"/>
    </w:pPr>
    <w:rPr>
      <w:rFonts w:ascii="Calibri" w:hAnsi="Calibri"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2018-07-12T07:11:00Z</dcterms:created>
  <dc:creator>d</dc:creator>
  <cp:lastModifiedBy>user</cp:lastModifiedBy>
  <cp:lastPrinted>2026-01-08T18:09:00Z</cp:lastPrinted>
  <dcterms:modified xsi:type="dcterms:W3CDTF">2026-01-08T16:17:19Z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