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numId w:val="0"/>
        </w:numPr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荣成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海洋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水产养殖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区灾害频发机制解析及</w:t>
      </w:r>
    </w:p>
    <w:p>
      <w:pPr>
        <w:numPr>
          <w:numId w:val="0"/>
        </w:numPr>
        <w:spacing w:line="560" w:lineRule="exact"/>
        <w:jc w:val="center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应急防控技术研究</w:t>
      </w:r>
      <w:bookmarkStart w:id="2" w:name="_GoBack"/>
      <w:bookmarkEnd w:id="2"/>
    </w:p>
    <w:p>
      <w:pPr>
        <w:pStyle w:val="2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（一）研究内容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ascii="Times New Roman" w:hAnsi="Times New Roman" w:eastAsia="仿宋_GB2312"/>
          <w:sz w:val="32"/>
          <w:szCs w:val="32"/>
          <w:shd w:val="clear" w:color="auto" w:fill="FFFFFF"/>
        </w:rPr>
      </w:pPr>
      <w:bookmarkStart w:id="0" w:name="_Hlk164417311"/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掌握荣成海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域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主要入海河流、</w:t>
      </w:r>
      <w:bookmarkStart w:id="1" w:name="_Hlk164432208"/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河口海岸带</w:t>
      </w:r>
      <w:bookmarkEnd w:id="1"/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及海洋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水产养殖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区水体与沉积物等生态环境状况，明确主要滨海河道碳、氮、磷等水质指标的污染负荷，识别河口海岸带沉积物的环境质量。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ascii="Times New Roman" w:hAnsi="Times New Roman" w:eastAsia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探明近年来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荣成海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域水产养殖灾害持续发生，与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河流及海域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营养物质改变、透明度及盐度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变化规律、微生物群落结构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、底泥内污染源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eastAsia="zh-CN"/>
        </w:rPr>
        <w:t>释放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的响应关系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，识别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生态环境质量演变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的主要驱动因子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及其与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水产品生长繁衍、病害发生之间的内在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联系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。</w:t>
      </w:r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ascii="Times New Roman" w:hAnsi="Times New Roman" w:eastAsia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  <w:t>3.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追溯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2021年11月至2022年4月海带主产区海带溃烂灾害的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潜在肇因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，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甄别导致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此次海带溃烂死亡的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核心因子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，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识别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死亡海带对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养殖区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海产品养殖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安全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的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潜在影响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。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ascii="Times New Roman" w:hAnsi="Times New Roman" w:eastAsia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  <w:t>4.</w:t>
      </w:r>
      <w:r>
        <w:rPr>
          <w:rFonts w:hint="eastAsia" w:ascii="Times New Roman" w:hAnsi="Times New Roman" w:eastAsia="仿宋_GB2312"/>
          <w:sz w:val="32"/>
          <w:szCs w:val="32"/>
        </w:rPr>
        <w:t>基于长周期、大尺度、高频次的实地研究，从陆海统筹角度揭示该区域</w:t>
      </w:r>
      <w:r>
        <w:rPr>
          <w:rFonts w:ascii="Times New Roman" w:hAnsi="Times New Roman" w:eastAsia="仿宋_GB2312"/>
          <w:sz w:val="32"/>
          <w:szCs w:val="32"/>
        </w:rPr>
        <w:t>水产品灾害</w:t>
      </w:r>
      <w:r>
        <w:rPr>
          <w:rFonts w:hint="eastAsia" w:ascii="Times New Roman" w:hAnsi="Times New Roman" w:eastAsia="仿宋_GB2312"/>
          <w:sz w:val="32"/>
          <w:szCs w:val="32"/>
        </w:rPr>
        <w:t>及减产</w:t>
      </w:r>
      <w:r>
        <w:rPr>
          <w:rFonts w:ascii="Times New Roman" w:hAnsi="Times New Roman" w:eastAsia="仿宋_GB2312"/>
          <w:sz w:val="32"/>
          <w:szCs w:val="32"/>
        </w:rPr>
        <w:t>的</w:t>
      </w:r>
      <w:r>
        <w:rPr>
          <w:rFonts w:hint="eastAsia" w:ascii="Times New Roman" w:hAnsi="Times New Roman" w:eastAsia="仿宋_GB2312"/>
          <w:sz w:val="32"/>
          <w:szCs w:val="32"/>
        </w:rPr>
        <w:t>深层次肇因，提出相应防控举措及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应急处理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技术方法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。</w:t>
      </w:r>
    </w:p>
    <w:p>
      <w:pPr>
        <w:pStyle w:val="2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（二）技术性指标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  <w:t>1.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通过季节性实地采样分析，核算区域内主要滨海河道碳氮磷等营养物质的入海通量，评估河口海岸带及近海养殖区生态环境状况；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ascii="Times New Roman" w:hAnsi="Times New Roman" w:eastAsia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  <w:t>2.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揭示出近年来研究区域水产养殖灾害持续发生的机制，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明确水质演变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的主要驱动因子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，揭示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出海水营养盐、透明度及盐度等常规指标变化与海带等水产品生长繁衍、病害发生之间的内在关系；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  <w:t>3.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系统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阐明特定区域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海带溃烂死亡原因，明晰海带死亡对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eastAsia="zh-CN"/>
        </w:rPr>
        <w:t>养殖区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及相关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海产品养殖的负面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影响，完成综合研究报告1份；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</w:pP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  <w:t>4.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提出1-2</w:t>
      </w:r>
      <w:r>
        <w:rPr>
          <w:rFonts w:ascii="Times New Roman" w:hAnsi="Times New Roman" w:eastAsia="仿宋_GB2312"/>
          <w:sz w:val="32"/>
          <w:szCs w:val="32"/>
          <w:shd w:val="clear" w:color="auto" w:fill="FFFFFF"/>
        </w:rPr>
        <w:t>套</w:t>
      </w: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</w:rPr>
        <w:t>切实有效的养殖灾害预防及应急处理技术方法，形成相关技术标准1-2项。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（三）项目交示件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  <w:t>关键技术研究报告、技术标准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（四）项目完成时间</w:t>
      </w:r>
    </w:p>
    <w:p>
      <w:pPr>
        <w:pStyle w:val="2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960" w:firstLineChars="300"/>
        <w:textAlignment w:val="auto"/>
        <w:rPr>
          <w:rFonts w:hint="default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  <w:t>12个月</w:t>
      </w:r>
    </w:p>
    <w:p>
      <w:pPr>
        <w:pStyle w:val="2"/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（五）张榜标的额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textAlignment w:val="auto"/>
        <w:rPr>
          <w:rFonts w:hint="default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shd w:val="clear" w:color="auto" w:fill="FFFFFF"/>
          <w:lang w:val="en-US" w:eastAsia="zh-CN"/>
        </w:rPr>
        <w:t>不超过100万元</w:t>
      </w:r>
    </w:p>
    <w:p>
      <w:pPr>
        <w:pStyle w:val="2"/>
        <w:numPr>
          <w:numId w:val="0"/>
        </w:numPr>
        <w:rPr>
          <w:rFonts w:hint="default" w:ascii="黑体" w:hAnsi="黑体" w:eastAsia="黑体" w:cs="黑体"/>
          <w:sz w:val="32"/>
          <w:szCs w:val="32"/>
          <w:lang w:val="en-US" w:eastAsia="zh-CN"/>
        </w:rPr>
      </w:pPr>
    </w:p>
    <w:p/>
    <w:sectPr>
      <w:pgSz w:w="11906" w:h="16838"/>
      <w:pgMar w:top="1814" w:right="1417" w:bottom="1814" w:left="1474" w:header="851" w:footer="1247" w:gutter="0"/>
      <w:cols w:space="0" w:num="1"/>
      <w:rtlGutter w:val="0"/>
      <w:docGrid w:type="lines" w:linePitch="60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ViNjAwNmNlYjhjMmQ3YzEzMDNmYTk4ZDIwOTRmNmYifQ=="/>
  </w:docVars>
  <w:rsids>
    <w:rsidRoot w:val="0B5245FE"/>
    <w:rsid w:val="081F5C03"/>
    <w:rsid w:val="0B5245FE"/>
    <w:rsid w:val="0BC87EE4"/>
    <w:rsid w:val="465E6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 w:afterLines="0" w:afterAutospacing="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11</TotalTime>
  <ScaleCrop>false</ScaleCrop>
  <LinksUpToDate>false</LinksUpToDate>
  <CharactersWithSpaces>0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2024-06-24T02:06:00Z</dcterms:created>
  <dc:creator>祥子</dc:creator>
  <cp:lastModifiedBy>祥子</cp:lastModifiedBy>
  <cp:lastPrinted>2024-06-24T02:18:21Z</cp:lastPrinted>
  <dcterms:modified xsi:type="dcterms:W3CDTF">2024-06-24T02:50:52Z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A71B8345D7654C709CB344F046E96D8C_11</vt:lpwstr>
  </property>
</Properties>
</file>