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both"/>
        <w:rPr>
          <w:rFonts w:hint="eastAsia" w:ascii="仿宋_GB2312" w:hAnsi="仿宋_GB2312" w:eastAsia="仿宋_GB2312" w:cs="仿宋_GB2312"/>
          <w:sz w:val="32"/>
          <w:szCs w:val="32"/>
          <w:lang w:val="en" w:eastAsia="zh-CN"/>
        </w:rPr>
      </w:pPr>
      <w:r>
        <w:rPr>
          <w:rFonts w:hint="eastAsia" w:ascii="仿宋_GB2312" w:hAnsi="仿宋_GB2312" w:eastAsia="仿宋_GB2312" w:cs="仿宋_GB2312"/>
          <w:sz w:val="32"/>
          <w:szCs w:val="32"/>
          <w:lang w:val="en" w:eastAsia="zh-CN"/>
        </w:rPr>
        <w:t>附件</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 w:eastAsia="zh-CN"/>
        </w:rPr>
        <w:t>：</w:t>
      </w:r>
    </w:p>
    <w:p>
      <w:pPr>
        <w:spacing w:line="560" w:lineRule="exact"/>
        <w:ind w:firstLine="1320" w:firstLineChars="300"/>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kern w:val="2"/>
          <w:sz w:val="44"/>
          <w:szCs w:val="44"/>
          <w:lang w:val="en-US" w:eastAsia="zh-CN" w:bidi="ar-SA"/>
        </w:rPr>
        <w:t>2024年</w:t>
      </w:r>
      <w:bookmarkStart w:id="0" w:name="_GoBack"/>
      <w:bookmarkEnd w:id="0"/>
      <w:r>
        <w:rPr>
          <w:rFonts w:hint="eastAsia" w:ascii="方正小标宋简体" w:hAnsi="方正小标宋简体" w:eastAsia="方正小标宋简体" w:cs="方正小标宋简体"/>
          <w:kern w:val="2"/>
          <w:sz w:val="44"/>
          <w:szCs w:val="44"/>
          <w:lang w:val="en-US" w:eastAsia="zh-CN" w:bidi="ar-SA"/>
        </w:rPr>
        <w:t>威海市揭榜挂帅（技术攻关类）项目榜单</w:t>
      </w:r>
    </w:p>
    <w:p>
      <w:pPr>
        <w:spacing w:line="560" w:lineRule="exact"/>
        <w:ind w:firstLine="640" w:firstLineChars="200"/>
        <w:rPr>
          <w:rFonts w:hint="eastAsia" w:ascii="方正黑体_GBK" w:hAnsi="方正黑体_GBK" w:eastAsia="方正黑体_GBK" w:cs="方正黑体_GBK"/>
          <w:b w:val="0"/>
          <w:bCs w:val="0"/>
          <w:sz w:val="32"/>
          <w:szCs w:val="32"/>
          <w:lang w:eastAsia="zh-CN"/>
        </w:rPr>
      </w:pPr>
      <w:r>
        <w:rPr>
          <w:rFonts w:hint="eastAsia" w:ascii="方正黑体_GBK" w:hAnsi="方正黑体_GBK" w:eastAsia="方正黑体_GBK" w:cs="方正黑体_GBK"/>
          <w:b w:val="0"/>
          <w:bCs w:val="0"/>
          <w:sz w:val="32"/>
          <w:szCs w:val="32"/>
          <w:lang w:eastAsia="zh-CN"/>
        </w:rPr>
        <w:t>榜单一：</w:t>
      </w:r>
      <w:r>
        <w:rPr>
          <w:rFonts w:hint="eastAsia" w:ascii="黑体" w:hAnsi="黑体" w:eastAsia="黑体" w:cs="黑体"/>
          <w:sz w:val="32"/>
          <w:szCs w:val="32"/>
        </w:rPr>
        <w:t>超高比例餐厨粉的饲料技术研发与推广应用</w:t>
      </w:r>
    </w:p>
    <w:p>
      <w:pPr>
        <w:keepNext w:val="0"/>
        <w:keepLines w:val="0"/>
        <w:pageBreakBefore w:val="0"/>
        <w:widowControl w:val="0"/>
        <w:kinsoku/>
        <w:wordWrap/>
        <w:overflowPunct/>
        <w:topLinePunct w:val="0"/>
        <w:autoSpaceDE/>
        <w:autoSpaceDN/>
        <w:bidi w:val="0"/>
        <w:adjustRightInd w:val="0"/>
        <w:snapToGrid w:val="0"/>
        <w:spacing w:line="560" w:lineRule="exact"/>
        <w:ind w:firstLine="565" w:firstLineChars="176"/>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（一）研究内容：</w:t>
      </w:r>
      <w:r>
        <w:rPr>
          <w:rFonts w:hint="eastAsia" w:ascii="仿宋_GB2312" w:hAnsi="仿宋_GB2312" w:eastAsia="仿宋_GB2312" w:cs="仿宋_GB2312"/>
          <w:sz w:val="32"/>
          <w:szCs w:val="32"/>
        </w:rPr>
        <w:t>针对餐桌剩余食物饲料化过程中存在的餐厨粉添加比例低、餐厨粉的饲料潜能尚未完全开发等问题，在限定饲料配方成本的条件下，开展超高比例餐厨粉饲料化关键技术的研制，重点突破超高比例餐厨粉饲料生产中所需的营养成分配制、特定饲料加工工艺和饲料安全控制等关键技术，研制超高比例餐厨粉饲料技术，并推动实现产业化。</w:t>
      </w:r>
    </w:p>
    <w:p>
      <w:pPr>
        <w:keepNext w:val="0"/>
        <w:keepLines w:val="0"/>
        <w:pageBreakBefore w:val="0"/>
        <w:widowControl w:val="0"/>
        <w:kinsoku/>
        <w:wordWrap/>
        <w:overflowPunct/>
        <w:topLinePunct w:val="0"/>
        <w:autoSpaceDE/>
        <w:autoSpaceDN/>
        <w:bidi w:val="0"/>
        <w:spacing w:line="560" w:lineRule="exact"/>
        <w:ind w:firstLine="758" w:firstLineChars="236"/>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（二）技术指标：</w:t>
      </w:r>
      <w:r>
        <w:rPr>
          <w:rFonts w:hint="eastAsia" w:ascii="仿宋_GB2312" w:hAnsi="仿宋_GB2312" w:eastAsia="仿宋_GB2312" w:cs="仿宋_GB2312"/>
          <w:sz w:val="32"/>
          <w:szCs w:val="32"/>
        </w:rPr>
        <w:t>1）针对餐厨粉的营养特征制定水产饲料配方，其中餐厨粉的添加比例不少于60%；2）针对餐厨粉的加工特性优化饲料工艺，开发饲料日产量不小于1吨的饲料生产设备</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758" w:firstLineChars="236"/>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（三）项目交示件</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适合于超高比例餐厨粉饲料生产设备1套；第三方</w:t>
      </w:r>
      <w:r>
        <w:rPr>
          <w:rFonts w:hint="eastAsia" w:ascii="仿宋_GB2312" w:hAnsi="仿宋_GB2312" w:eastAsia="仿宋_GB2312" w:cs="仿宋_GB2312"/>
          <w:sz w:val="32"/>
          <w:szCs w:val="32"/>
          <w:lang w:eastAsia="zh-CN"/>
        </w:rPr>
        <w:t>饲料</w:t>
      </w:r>
      <w:r>
        <w:rPr>
          <w:rFonts w:hint="eastAsia" w:ascii="仿宋_GB2312" w:hAnsi="仿宋_GB2312" w:eastAsia="仿宋_GB2312" w:cs="仿宋_GB2312"/>
          <w:sz w:val="32"/>
          <w:szCs w:val="32"/>
        </w:rPr>
        <w:t>检测报告。</w:t>
      </w:r>
    </w:p>
    <w:p>
      <w:pPr>
        <w:keepNext w:val="0"/>
        <w:keepLines w:val="0"/>
        <w:pageBreakBefore w:val="0"/>
        <w:widowControl w:val="0"/>
        <w:kinsoku/>
        <w:wordWrap/>
        <w:overflowPunct/>
        <w:topLinePunct w:val="0"/>
        <w:autoSpaceDE/>
        <w:autoSpaceDN/>
        <w:bidi w:val="0"/>
        <w:spacing w:line="560" w:lineRule="exact"/>
        <w:ind w:firstLine="758" w:firstLineChars="236"/>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（四）项目完成时间：</w:t>
      </w:r>
      <w:r>
        <w:rPr>
          <w:rFonts w:hint="eastAsia" w:ascii="仿宋_GB2312" w:hAnsi="仿宋_GB2312" w:eastAsia="仿宋_GB2312" w:cs="仿宋_GB2312"/>
          <w:b w:val="0"/>
          <w:bCs w:val="0"/>
          <w:sz w:val="32"/>
          <w:szCs w:val="32"/>
        </w:rPr>
        <w:t>12个月</w:t>
      </w:r>
    </w:p>
    <w:p>
      <w:pPr>
        <w:keepNext w:val="0"/>
        <w:keepLines w:val="0"/>
        <w:pageBreakBefore w:val="0"/>
        <w:widowControl w:val="0"/>
        <w:kinsoku/>
        <w:wordWrap/>
        <w:overflowPunct/>
        <w:topLinePunct w:val="0"/>
        <w:autoSpaceDE/>
        <w:autoSpaceDN/>
        <w:bidi w:val="0"/>
        <w:spacing w:line="560" w:lineRule="exact"/>
        <w:ind w:firstLine="758" w:firstLineChars="236"/>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eastAsia="zh-CN"/>
        </w:rPr>
        <w:t>（五）张榜标的额：</w:t>
      </w:r>
      <w:r>
        <w:rPr>
          <w:rFonts w:hint="eastAsia" w:ascii="仿宋_GB2312" w:hAnsi="仿宋_GB2312" w:eastAsia="仿宋_GB2312" w:cs="仿宋_GB2312"/>
          <w:b w:val="0"/>
          <w:bCs w:val="0"/>
          <w:sz w:val="32"/>
          <w:szCs w:val="32"/>
          <w:lang w:val="en-US" w:eastAsia="zh-CN"/>
        </w:rPr>
        <w:t>不超过100万元</w:t>
      </w:r>
    </w:p>
    <w:p>
      <w:pPr>
        <w:pStyle w:val="2"/>
        <w:rPr>
          <w:rFonts w:hint="eastAsia"/>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spacing w:line="560" w:lineRule="exact"/>
        <w:ind w:firstLine="320" w:firstLineChars="100"/>
        <w:jc w:val="both"/>
        <w:rPr>
          <w:rFonts w:hint="eastAsia" w:ascii="方正黑体_GBK" w:hAnsi="方正黑体_GBK" w:eastAsia="方正黑体_GBK" w:cs="方正黑体_GBK"/>
          <w:b w:val="0"/>
          <w:bCs w:val="0"/>
          <w:sz w:val="32"/>
          <w:szCs w:val="32"/>
          <w:lang w:eastAsia="zh-CN"/>
        </w:rPr>
      </w:pPr>
    </w:p>
    <w:p>
      <w:pPr>
        <w:spacing w:line="560" w:lineRule="exact"/>
        <w:jc w:val="both"/>
        <w:rPr>
          <w:rFonts w:hint="eastAsia" w:ascii="方正黑体_GBK" w:hAnsi="方正黑体_GBK" w:eastAsia="方正黑体_GBK" w:cs="方正黑体_GBK"/>
          <w:b w:val="0"/>
          <w:bCs w:val="0"/>
          <w:sz w:val="32"/>
          <w:szCs w:val="32"/>
          <w:lang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ascii="Times New Roman" w:hAnsi="Times New Roman" w:eastAsia="仿宋_GB2312"/>
          <w:b/>
          <w:bCs/>
          <w:color w:val="auto"/>
          <w:sz w:val="32"/>
          <w:szCs w:val="32"/>
          <w:shd w:val="clear" w:color="auto" w:fill="FFFFFF"/>
        </w:rPr>
      </w:pPr>
      <w:r>
        <w:rPr>
          <w:rFonts w:hint="eastAsia" w:ascii="方正黑体_GBK" w:hAnsi="方正黑体_GBK" w:eastAsia="方正黑体_GBK" w:cs="方正黑体_GBK"/>
          <w:b w:val="0"/>
          <w:bCs w:val="0"/>
          <w:sz w:val="32"/>
          <w:szCs w:val="32"/>
          <w:lang w:eastAsia="zh-CN"/>
        </w:rPr>
        <w:t>榜单二：</w:t>
      </w:r>
      <w:r>
        <w:rPr>
          <w:rFonts w:hint="eastAsia" w:ascii="黑体" w:hAnsi="黑体" w:eastAsia="黑体" w:cs="黑体"/>
          <w:b w:val="0"/>
          <w:bCs w:val="0"/>
          <w:sz w:val="32"/>
          <w:szCs w:val="32"/>
          <w:shd w:val="clear" w:color="auto" w:fill="FFFFFF"/>
          <w:lang w:val="en-US" w:eastAsia="zh-CN"/>
        </w:rPr>
        <w:t>复合材料纯电动船舶研制</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2" w:firstLineChars="200"/>
        <w:jc w:val="left"/>
        <w:textAlignment w:val="auto"/>
        <w:rPr>
          <w:rFonts w:hint="eastAsia" w:ascii="Times New Roman" w:hAnsi="Times New Roman" w:eastAsia="仿宋_GB2312"/>
          <w:b w:val="0"/>
          <w:bCs w:val="0"/>
          <w:color w:val="auto"/>
          <w:sz w:val="32"/>
          <w:szCs w:val="32"/>
          <w:shd w:val="clear" w:color="auto" w:fill="FFFFFF"/>
          <w:lang w:eastAsia="zh-CN"/>
        </w:rPr>
      </w:pPr>
      <w:r>
        <w:rPr>
          <w:rFonts w:hint="eastAsia" w:ascii="Times New Roman" w:hAnsi="Times New Roman" w:eastAsia="仿宋_GB2312"/>
          <w:b/>
          <w:bCs/>
          <w:color w:val="auto"/>
          <w:sz w:val="32"/>
          <w:szCs w:val="32"/>
          <w:shd w:val="clear" w:color="auto" w:fill="FFFFFF"/>
          <w:lang w:eastAsia="zh-CN"/>
        </w:rPr>
        <w:t>（一）</w:t>
      </w:r>
      <w:r>
        <w:rPr>
          <w:rFonts w:ascii="Times New Roman" w:hAnsi="Times New Roman" w:eastAsia="仿宋_GB2312"/>
          <w:b/>
          <w:bCs/>
          <w:color w:val="auto"/>
          <w:sz w:val="32"/>
          <w:szCs w:val="32"/>
          <w:shd w:val="clear" w:color="auto" w:fill="FFFFFF"/>
        </w:rPr>
        <w:t>研究内容：</w:t>
      </w:r>
      <w:r>
        <w:rPr>
          <w:rFonts w:hint="eastAsia" w:ascii="Times New Roman" w:hAnsi="Times New Roman" w:eastAsia="仿宋_GB2312"/>
          <w:b w:val="0"/>
          <w:bCs w:val="0"/>
          <w:color w:val="auto"/>
          <w:sz w:val="32"/>
          <w:szCs w:val="32"/>
          <w:shd w:val="clear" w:color="auto" w:fill="FFFFFF"/>
          <w:lang w:eastAsia="zh-CN"/>
        </w:rPr>
        <w:t>针对复合材料纯电动船舶在电动系统集成和核心部件高盐高湿环境下的可靠性问题，展开船舶电动推进器，动力电池模组相关技术研制，突破高强度复合材料船舶在集成和可靠性方面的技术难点，建造样船并推动产业化。</w:t>
      </w:r>
    </w:p>
    <w:p>
      <w:pPr>
        <w:pStyle w:val="3"/>
        <w:keepNext w:val="0"/>
        <w:keepLines w:val="0"/>
        <w:pageBreakBefore w:val="0"/>
        <w:widowControl w:val="0"/>
        <w:kinsoku/>
        <w:wordWrap/>
        <w:overflowPunct/>
        <w:topLinePunct w:val="0"/>
        <w:bidi w:val="0"/>
        <w:snapToGrid/>
        <w:spacing w:after="0" w:line="560" w:lineRule="exact"/>
        <w:ind w:firstLine="642" w:firstLineChars="200"/>
        <w:textAlignment w:val="auto"/>
        <w:rPr>
          <w:rFonts w:hint="eastAsia" w:ascii="Times New Roman" w:hAnsi="Times New Roman" w:eastAsia="仿宋_GB2312"/>
          <w:kern w:val="0"/>
          <w:sz w:val="32"/>
          <w:szCs w:val="32"/>
        </w:rPr>
      </w:pPr>
      <w:r>
        <w:rPr>
          <w:rFonts w:hint="eastAsia" w:ascii="Times New Roman" w:hAnsi="Times New Roman" w:eastAsia="仿宋_GB2312"/>
          <w:b/>
          <w:bCs/>
          <w:sz w:val="32"/>
          <w:szCs w:val="32"/>
          <w:shd w:val="clear" w:color="auto" w:fill="FFFFFF"/>
          <w:lang w:eastAsia="zh-CN"/>
        </w:rPr>
        <w:t>（二）技术</w:t>
      </w:r>
      <w:r>
        <w:rPr>
          <w:rFonts w:ascii="Times New Roman" w:hAnsi="Times New Roman" w:eastAsia="仿宋_GB2312"/>
          <w:b/>
          <w:bCs/>
          <w:sz w:val="32"/>
          <w:szCs w:val="32"/>
          <w:shd w:val="clear" w:color="auto" w:fill="FFFFFF"/>
        </w:rPr>
        <w:t>指标：</w:t>
      </w:r>
      <w:r>
        <w:rPr>
          <w:rFonts w:hint="eastAsia" w:ascii="Times New Roman" w:hAnsi="Times New Roman" w:eastAsia="仿宋_GB2312"/>
          <w:kern w:val="0"/>
          <w:sz w:val="32"/>
          <w:szCs w:val="32"/>
          <w:lang w:val="en-US" w:eastAsia="zh-CN"/>
        </w:rPr>
        <w:t>1</w:t>
      </w:r>
      <w:r>
        <w:rPr>
          <w:rFonts w:hint="eastAsia" w:ascii="Times New Roman" w:hAnsi="Times New Roman" w:eastAsia="仿宋_GB2312"/>
          <w:kern w:val="0"/>
          <w:sz w:val="32"/>
          <w:szCs w:val="32"/>
          <w:lang w:eastAsia="zh-CN"/>
        </w:rPr>
        <w:t>）整船指标：总长</w:t>
      </w:r>
      <w:r>
        <w:rPr>
          <w:rFonts w:hint="eastAsia" w:ascii="Times New Roman" w:hAnsi="Times New Roman" w:eastAsia="仿宋_GB2312"/>
          <w:kern w:val="0"/>
          <w:sz w:val="32"/>
          <w:szCs w:val="32"/>
          <w:lang w:val="en-US" w:eastAsia="zh-CN"/>
        </w:rPr>
        <w:t>13.8米，定员12人，最大航速20节，续航里程50海里；2</w:t>
      </w:r>
      <w:r>
        <w:rPr>
          <w:rFonts w:hint="eastAsia" w:ascii="Times New Roman" w:hAnsi="Times New Roman" w:eastAsia="仿宋_GB2312"/>
          <w:kern w:val="0"/>
          <w:sz w:val="32"/>
          <w:szCs w:val="32"/>
          <w:lang w:eastAsia="zh-CN"/>
        </w:rPr>
        <w:t>）电推进器指标：单机功率</w:t>
      </w:r>
      <w:r>
        <w:rPr>
          <w:rFonts w:hint="eastAsia" w:ascii="Times New Roman" w:hAnsi="Times New Roman" w:eastAsia="仿宋_GB2312"/>
          <w:kern w:val="0"/>
          <w:sz w:val="32"/>
          <w:szCs w:val="32"/>
          <w:lang w:val="en-US" w:eastAsia="zh-CN"/>
        </w:rPr>
        <w:t>150kW，额定转速1500rpm，最高转速6000rpm，功率密度2kW/kg，电机寿命30000小时，电机防水</w:t>
      </w:r>
      <w:r>
        <w:rPr>
          <w:rFonts w:hint="eastAsia" w:ascii="Times New Roman" w:hAnsi="Times New Roman" w:eastAsia="仿宋_GB2312"/>
          <w:kern w:val="0"/>
          <w:sz w:val="32"/>
          <w:szCs w:val="32"/>
          <w:lang w:val="en-US" w:eastAsia="zh-CN"/>
        </w:rPr>
        <w:tab/>
      </w:r>
      <w:r>
        <w:rPr>
          <w:rFonts w:hint="eastAsia" w:ascii="Times New Roman" w:hAnsi="Times New Roman" w:eastAsia="仿宋_GB2312"/>
          <w:kern w:val="0"/>
          <w:sz w:val="32"/>
          <w:szCs w:val="32"/>
          <w:lang w:val="en-US" w:eastAsia="zh-CN"/>
        </w:rPr>
        <w:t>IPX7，电机平均效率90%；3</w:t>
      </w:r>
      <w:r>
        <w:rPr>
          <w:rFonts w:hint="eastAsia" w:ascii="Times New Roman" w:hAnsi="Times New Roman" w:eastAsia="仿宋_GB2312"/>
          <w:kern w:val="0"/>
          <w:sz w:val="32"/>
          <w:szCs w:val="32"/>
          <w:lang w:eastAsia="zh-CN"/>
        </w:rPr>
        <w:t>）电池模组指标：电芯类型：三元锂电池，电池模组容量</w:t>
      </w:r>
      <w:r>
        <w:rPr>
          <w:rFonts w:hint="eastAsia" w:ascii="Times New Roman" w:hAnsi="Times New Roman" w:eastAsia="仿宋_GB2312"/>
          <w:kern w:val="0"/>
          <w:sz w:val="32"/>
          <w:szCs w:val="32"/>
          <w:lang w:val="en-US" w:eastAsia="zh-CN"/>
        </w:rPr>
        <w:t>1000kWh，最大续航里程80海里，电压等级800V，电池模组能量密度：120Wh/kg，电池充放电寿命：2000次，电池组防水IPX8。</w:t>
      </w:r>
    </w:p>
    <w:p>
      <w:pPr>
        <w:pStyle w:val="3"/>
        <w:keepNext w:val="0"/>
        <w:keepLines w:val="0"/>
        <w:pageBreakBefore w:val="0"/>
        <w:widowControl w:val="0"/>
        <w:numPr>
          <w:ilvl w:val="0"/>
          <w:numId w:val="0"/>
        </w:numPr>
        <w:kinsoku/>
        <w:wordWrap/>
        <w:overflowPunct/>
        <w:topLinePunct w:val="0"/>
        <w:bidi w:val="0"/>
        <w:snapToGrid/>
        <w:spacing w:after="0" w:line="560" w:lineRule="exact"/>
        <w:ind w:firstLine="642" w:firstLineChars="200"/>
        <w:textAlignment w:val="auto"/>
        <w:rPr>
          <w:rFonts w:hint="eastAsia" w:eastAsia="仿宋_GB2312"/>
          <w:lang w:val="en-US" w:eastAsia="zh-CN"/>
        </w:rPr>
      </w:pPr>
      <w:r>
        <w:rPr>
          <w:rFonts w:hint="eastAsia" w:ascii="Times New Roman" w:hAnsi="Times New Roman" w:eastAsia="仿宋_GB2312"/>
          <w:b/>
          <w:bCs/>
          <w:sz w:val="32"/>
          <w:szCs w:val="32"/>
          <w:shd w:val="clear" w:color="auto" w:fill="FFFFFF"/>
          <w:lang w:eastAsia="zh-CN"/>
        </w:rPr>
        <w:t>（三）项目交示件：</w:t>
      </w:r>
      <w:r>
        <w:rPr>
          <w:rFonts w:hint="eastAsia" w:ascii="Times New Roman" w:hAnsi="Times New Roman" w:eastAsia="仿宋_GB2312"/>
          <w:b w:val="0"/>
          <w:bCs w:val="0"/>
          <w:sz w:val="32"/>
          <w:szCs w:val="32"/>
          <w:shd w:val="clear" w:color="auto" w:fill="FFFFFF"/>
          <w:lang w:val="en-US" w:eastAsia="zh-CN"/>
        </w:rPr>
        <w:t>样船1艘，核心零部件第三方检测报告。</w:t>
      </w:r>
    </w:p>
    <w:p>
      <w:pPr>
        <w:pStyle w:val="3"/>
        <w:keepNext w:val="0"/>
        <w:keepLines w:val="0"/>
        <w:pageBreakBefore w:val="0"/>
        <w:widowControl w:val="0"/>
        <w:kinsoku/>
        <w:wordWrap/>
        <w:overflowPunct/>
        <w:topLinePunct w:val="0"/>
        <w:bidi w:val="0"/>
        <w:snapToGrid/>
        <w:spacing w:after="0" w:line="560" w:lineRule="exact"/>
        <w:ind w:firstLine="642" w:firstLineChars="200"/>
        <w:textAlignment w:val="auto"/>
        <w:rPr>
          <w:rFonts w:hint="default" w:ascii="Times New Roman" w:hAnsi="Times New Roman" w:eastAsia="仿宋_GB2312"/>
          <w:b w:val="0"/>
          <w:bCs w:val="0"/>
          <w:sz w:val="32"/>
          <w:szCs w:val="32"/>
          <w:shd w:val="clear" w:color="auto" w:fill="FFFFFF"/>
          <w:lang w:val="en-US" w:eastAsia="zh-CN"/>
        </w:rPr>
      </w:pPr>
      <w:r>
        <w:rPr>
          <w:rFonts w:hint="eastAsia" w:ascii="Times New Roman" w:hAnsi="Times New Roman" w:eastAsia="仿宋_GB2312"/>
          <w:b/>
          <w:bCs/>
          <w:sz w:val="32"/>
          <w:szCs w:val="32"/>
          <w:shd w:val="clear" w:color="auto" w:fill="FFFFFF"/>
          <w:lang w:eastAsia="zh-CN"/>
        </w:rPr>
        <w:t>（四）项目完成时间：</w:t>
      </w:r>
      <w:r>
        <w:rPr>
          <w:rFonts w:hint="eastAsia" w:ascii="Times New Roman" w:hAnsi="Times New Roman" w:eastAsia="仿宋_GB2312"/>
          <w:b w:val="0"/>
          <w:bCs w:val="0"/>
          <w:sz w:val="32"/>
          <w:szCs w:val="32"/>
          <w:shd w:val="clear" w:color="auto" w:fill="FFFFFF"/>
          <w:lang w:val="en-US" w:eastAsia="zh-CN"/>
        </w:rPr>
        <w:t>24个月</w:t>
      </w:r>
    </w:p>
    <w:p>
      <w:pPr>
        <w:keepNext w:val="0"/>
        <w:keepLines w:val="0"/>
        <w:pageBreakBefore w:val="0"/>
        <w:widowControl w:val="0"/>
        <w:kinsoku/>
        <w:wordWrap/>
        <w:overflowPunct/>
        <w:topLinePunct w:val="0"/>
        <w:bidi w:val="0"/>
        <w:snapToGrid/>
        <w:spacing w:line="560" w:lineRule="exact"/>
        <w:ind w:firstLine="642" w:firstLineChars="200"/>
        <w:textAlignment w:val="auto"/>
        <w:rPr>
          <w:rFonts w:hint="default" w:ascii="Times New Roman" w:hAnsi="Times New Roman" w:eastAsia="仿宋_GB2312" w:cs="Times New Roman"/>
          <w:b/>
          <w:bCs/>
          <w:kern w:val="2"/>
          <w:sz w:val="32"/>
          <w:szCs w:val="32"/>
          <w:shd w:val="clear" w:color="auto" w:fill="FFFFFF"/>
          <w:lang w:val="en-US" w:eastAsia="zh-CN" w:bidi="ar-SA"/>
        </w:rPr>
      </w:pPr>
      <w:r>
        <w:rPr>
          <w:rFonts w:hint="eastAsia" w:ascii="Times New Roman" w:hAnsi="Times New Roman" w:eastAsia="仿宋_GB2312" w:cs="Times New Roman"/>
          <w:b/>
          <w:bCs/>
          <w:kern w:val="2"/>
          <w:sz w:val="32"/>
          <w:szCs w:val="32"/>
          <w:shd w:val="clear" w:color="auto" w:fill="FFFFFF"/>
          <w:lang w:val="en-US" w:eastAsia="zh-CN" w:bidi="ar-SA"/>
        </w:rPr>
        <w:t>（五）张榜标的额：</w:t>
      </w:r>
      <w:r>
        <w:rPr>
          <w:rFonts w:hint="eastAsia" w:ascii="Times New Roman" w:hAnsi="Times New Roman" w:eastAsia="仿宋_GB2312" w:cs="Times New Roman"/>
          <w:b w:val="0"/>
          <w:bCs w:val="0"/>
          <w:kern w:val="2"/>
          <w:sz w:val="32"/>
          <w:szCs w:val="32"/>
          <w:shd w:val="clear" w:color="auto" w:fill="FFFFFF"/>
          <w:lang w:val="en-US" w:eastAsia="zh-CN" w:bidi="ar-SA"/>
        </w:rPr>
        <w:t>不超过200万元</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0"/>
          <w:szCs w:val="30"/>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榜单三：</w:t>
      </w:r>
      <w:r>
        <w:rPr>
          <w:rFonts w:hint="eastAsia" w:ascii="黑体" w:hAnsi="黑体" w:eastAsia="黑体" w:cs="黑体"/>
          <w:b w:val="0"/>
          <w:bCs w:val="0"/>
          <w:sz w:val="32"/>
          <w:szCs w:val="32"/>
          <w:lang w:eastAsia="zh-CN"/>
        </w:rPr>
        <w:t>地毯智能剪花系统的研究及应用</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rPr>
        <w:t>（一）研究内容：</w:t>
      </w:r>
      <w:r>
        <w:rPr>
          <w:rFonts w:hint="eastAsia" w:ascii="仿宋_GB2312" w:hAnsi="仿宋_GB2312" w:eastAsia="仿宋_GB2312" w:cs="仿宋_GB2312"/>
          <w:kern w:val="2"/>
          <w:sz w:val="32"/>
          <w:szCs w:val="32"/>
          <w:lang w:val="en-US" w:eastAsia="zh-CN" w:bidi="ar-SA"/>
        </w:rPr>
        <w:t>针对地毯剪花过程花型千变万化的特点，实现地毯不同图案花纹自动识别系统研发的突破，并模拟人工剪、片等手法，研制地毯智能剪花装置和相关软件，最终实现地毯剪花过程自动化作业。</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技术</w:t>
      </w:r>
      <w:r>
        <w:rPr>
          <w:rFonts w:hint="eastAsia" w:ascii="仿宋_GB2312" w:hAnsi="仿宋_GB2312" w:eastAsia="仿宋_GB2312" w:cs="仿宋_GB2312"/>
          <w:b/>
          <w:bCs/>
          <w:sz w:val="32"/>
          <w:szCs w:val="32"/>
        </w:rPr>
        <w:t>指标：</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kern w:val="2"/>
          <w:sz w:val="32"/>
          <w:szCs w:val="32"/>
          <w:lang w:val="en-US" w:eastAsia="zh-CN" w:bidi="ar-SA"/>
        </w:rPr>
        <w:t>整体图案异色率为零，边角圆滑，不圆滑的每平方米不超过一处；2）投沟均匀指标，深度偏差不超过5%，宽度偏差不超过5%，角度偏差不超过10度；3）剪花速度大于1.5米/秒，比人工效率提升10倍。</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（三）项目交</w:t>
      </w:r>
      <w:r>
        <w:rPr>
          <w:rFonts w:hint="eastAsia" w:ascii="仿宋_GB2312" w:hAnsi="仿宋_GB2312" w:eastAsia="仿宋_GB2312" w:cs="仿宋_GB2312"/>
          <w:b/>
          <w:bCs/>
          <w:sz w:val="32"/>
          <w:szCs w:val="32"/>
          <w:lang w:eastAsia="zh-CN"/>
        </w:rPr>
        <w:t>示</w:t>
      </w:r>
      <w:r>
        <w:rPr>
          <w:rFonts w:hint="eastAsia" w:ascii="仿宋_GB2312" w:hAnsi="仿宋_GB2312" w:eastAsia="仿宋_GB2312" w:cs="仿宋_GB2312"/>
          <w:b/>
          <w:bCs/>
          <w:sz w:val="32"/>
          <w:szCs w:val="32"/>
        </w:rPr>
        <w:t>件：</w:t>
      </w:r>
      <w:r>
        <w:rPr>
          <w:rFonts w:hint="eastAsia" w:ascii="仿宋_GB2312" w:hAnsi="仿宋_GB2312" w:eastAsia="仿宋_GB2312" w:cs="仿宋_GB2312"/>
          <w:kern w:val="2"/>
          <w:sz w:val="32"/>
          <w:szCs w:val="32"/>
          <w:lang w:val="en-US" w:eastAsia="zh-CN" w:bidi="ar-SA"/>
        </w:rPr>
        <w:t>1）图案自动识别系统1套；2）图案自动识别剪花设备1台。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（四）项目完成时间：</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个月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eastAsia="宋体"/>
          <w:sz w:val="32"/>
          <w:szCs w:val="32"/>
          <w:lang w:val="en-US" w:eastAsia="zh-CN"/>
        </w:rPr>
      </w:pPr>
      <w:r>
        <w:rPr>
          <w:rFonts w:hint="eastAsia"/>
          <w:sz w:val="32"/>
          <w:szCs w:val="32"/>
          <w:lang w:val="en-US" w:eastAsia="zh-CN"/>
        </w:rPr>
        <w:t xml:space="preserve">    </w:t>
      </w:r>
      <w:r>
        <w:rPr>
          <w:rFonts w:hint="eastAsia" w:ascii="仿宋_GB2312" w:hAnsi="仿宋_GB2312" w:eastAsia="仿宋_GB2312" w:cs="仿宋_GB2312"/>
          <w:b/>
          <w:bCs/>
          <w:sz w:val="32"/>
          <w:szCs w:val="32"/>
          <w:lang w:val="en-US" w:eastAsia="zh-CN"/>
        </w:rPr>
        <w:t>（五）张榜标的额：</w:t>
      </w:r>
      <w:r>
        <w:rPr>
          <w:rFonts w:hint="eastAsia" w:ascii="仿宋_GB2312" w:hAnsi="仿宋_GB2312" w:eastAsia="仿宋_GB2312" w:cs="仿宋_GB2312"/>
          <w:b w:val="0"/>
          <w:bCs w:val="0"/>
          <w:sz w:val="32"/>
          <w:szCs w:val="32"/>
          <w:lang w:val="en-US" w:eastAsia="zh-CN"/>
        </w:rPr>
        <w:t>不超过300万元</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00" w:firstLineChars="200"/>
        <w:textAlignment w:val="auto"/>
        <w:rPr>
          <w:rFonts w:hint="eastAsia" w:ascii="仿宋_GB2312" w:hAnsi="仿宋_GB2312" w:eastAsia="仿宋_GB2312" w:cs="仿宋_GB2312"/>
          <w:sz w:val="30"/>
          <w:szCs w:val="30"/>
          <w:lang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rPr>
      </w:pPr>
      <w:r>
        <w:rPr>
          <w:rFonts w:hint="eastAsia" w:ascii="黑体" w:hAnsi="黑体" w:eastAsia="黑体" w:cs="黑体"/>
          <w:sz w:val="32"/>
          <w:szCs w:val="32"/>
          <w:lang w:eastAsia="zh-CN"/>
        </w:rPr>
        <w:t>榜单四：</w:t>
      </w:r>
      <w:r>
        <w:rPr>
          <w:rFonts w:hint="eastAsia" w:ascii="黑体" w:hAnsi="黑体" w:eastAsia="黑体" w:cs="黑体"/>
          <w:b w:val="0"/>
          <w:bCs w:val="0"/>
          <w:sz w:val="32"/>
          <w:szCs w:val="32"/>
        </w:rPr>
        <w:t>面向国际客滚船舱内装卸作业的智能移动机器人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02" w:firstLineChars="200"/>
        <w:textAlignment w:val="auto"/>
        <w:rPr>
          <w:rFonts w:ascii="仿宋_GB2312" w:hAnsi="方正黑体_GBK" w:eastAsia="仿宋_GB2312" w:cs="方正黑体_GBK"/>
          <w:sz w:val="32"/>
          <w:szCs w:val="32"/>
        </w:rPr>
      </w:pPr>
      <w:r>
        <w:rPr>
          <w:rFonts w:hint="eastAsia" w:ascii="仿宋_GB2312" w:hAnsi="仿宋_GB2312" w:eastAsia="仿宋_GB2312" w:cs="仿宋_GB2312"/>
          <w:b/>
          <w:bCs/>
          <w:sz w:val="30"/>
          <w:szCs w:val="30"/>
        </w:rPr>
        <w:t>（一）研究内容：</w:t>
      </w:r>
      <w:r>
        <w:rPr>
          <w:rFonts w:hint="eastAsia" w:ascii="仿宋_GB2312" w:hAnsi="仿宋_GB2312" w:eastAsia="仿宋_GB2312" w:cs="仿宋_GB2312"/>
          <w:bCs/>
          <w:sz w:val="30"/>
          <w:szCs w:val="30"/>
        </w:rPr>
        <w:t>研</w:t>
      </w:r>
      <w:r>
        <w:rPr>
          <w:rFonts w:hint="eastAsia" w:ascii="仿宋_GB2312" w:hAnsi="方正黑体_GBK" w:eastAsia="仿宋_GB2312" w:cs="方正黑体_GBK"/>
          <w:sz w:val="30"/>
          <w:szCs w:val="30"/>
        </w:rPr>
        <w:t>究智能移动机器人，能够在船舱内部安全移动，在拖盘下</w:t>
      </w:r>
      <w:r>
        <w:rPr>
          <w:rFonts w:hint="eastAsia" w:ascii="仿宋_GB2312" w:hAnsi="方正黑体_GBK" w:eastAsia="仿宋_GB2312" w:cs="方正黑体_GBK"/>
          <w:sz w:val="30"/>
          <w:szCs w:val="30"/>
          <w:lang w:eastAsia="zh-CN"/>
        </w:rPr>
        <w:t>方</w:t>
      </w:r>
      <w:r>
        <w:rPr>
          <w:rFonts w:hint="eastAsia" w:ascii="仿宋_GB2312" w:hAnsi="方正黑体_GBK" w:eastAsia="仿宋_GB2312" w:cs="方正黑体_GBK"/>
          <w:sz w:val="30"/>
          <w:szCs w:val="30"/>
        </w:rPr>
        <w:t>灵活调整位置，通过声光警示等多种途径能够辅助拖车司机带箱倒车停靠，通过机械臂代替船舱内人工进行拖盘支腿的升降操作，解放现场人员，消除人机交叉风险，提高安全生产效率</w:t>
      </w:r>
      <w:r>
        <w:rPr>
          <w:rFonts w:hint="eastAsia" w:ascii="仿宋_GB2312" w:hAnsi="仿宋_GB2312" w:eastAsia="仿宋_GB2312" w:cs="仿宋_GB2312"/>
          <w:sz w:val="30"/>
          <w:szCs w:val="30"/>
        </w:rPr>
        <w:t>。</w:t>
      </w:r>
    </w:p>
    <w:p>
      <w:pPr>
        <w:pStyle w:val="3"/>
        <w:keepNext w:val="0"/>
        <w:keepLines w:val="0"/>
        <w:pageBreakBefore w:val="0"/>
        <w:widowControl w:val="0"/>
        <w:kinsoku/>
        <w:wordWrap/>
        <w:overflowPunct/>
        <w:topLinePunct w:val="0"/>
        <w:autoSpaceDE/>
        <w:autoSpaceDN/>
        <w:bidi w:val="0"/>
        <w:adjustRightInd/>
        <w:snapToGrid/>
        <w:spacing w:after="0" w:line="560" w:lineRule="exact"/>
        <w:ind w:left="0" w:leftChars="0" w:firstLine="602" w:firstLineChars="200"/>
        <w:textAlignment w:val="auto"/>
        <w:rPr>
          <w:rFonts w:ascii="仿宋_GB2312" w:hAnsi="仿宋_GB2312" w:eastAsia="仿宋_GB2312" w:cs="仿宋_GB2312"/>
          <w:sz w:val="30"/>
          <w:szCs w:val="30"/>
        </w:rPr>
      </w:pPr>
      <w:r>
        <w:rPr>
          <w:rFonts w:hint="eastAsia" w:ascii="仿宋_GB2312" w:hAnsi="仿宋_GB2312" w:eastAsia="仿宋_GB2312" w:cs="仿宋_GB2312"/>
          <w:b/>
          <w:bCs/>
          <w:sz w:val="30"/>
          <w:szCs w:val="30"/>
        </w:rPr>
        <w:t>（二）技术指标：</w:t>
      </w:r>
      <w:r>
        <w:rPr>
          <w:rFonts w:hint="eastAsia" w:ascii="仿宋_GB2312" w:hAnsi="仿宋_GB2312" w:eastAsia="仿宋_GB2312" w:cs="仿宋_GB2312"/>
          <w:sz w:val="30"/>
          <w:szCs w:val="30"/>
        </w:rPr>
        <w:t>1</w:t>
      </w: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sz w:val="30"/>
          <w:szCs w:val="30"/>
        </w:rPr>
        <w:t>机器人升降支腿作业时间＜</w:t>
      </w:r>
      <w:r>
        <w:rPr>
          <w:rFonts w:ascii="仿宋_GB2312" w:hAnsi="仿宋_GB2312" w:eastAsia="仿宋_GB2312" w:cs="仿宋_GB2312"/>
          <w:sz w:val="30"/>
          <w:szCs w:val="30"/>
        </w:rPr>
        <w:t>4min(</w:t>
      </w:r>
      <w:r>
        <w:rPr>
          <w:rFonts w:hint="eastAsia" w:ascii="仿宋_GB2312" w:hAnsi="仿宋_GB2312" w:eastAsia="仿宋_GB2312" w:cs="仿宋_GB2312"/>
          <w:sz w:val="30"/>
          <w:szCs w:val="30"/>
        </w:rPr>
        <w:t>包含对中，升</w:t>
      </w:r>
      <w:r>
        <w:rPr>
          <w:rFonts w:ascii="仿宋_GB2312" w:hAnsi="仿宋_GB2312" w:eastAsia="仿宋_GB2312" w:cs="仿宋_GB2312"/>
          <w:sz w:val="30"/>
          <w:szCs w:val="30"/>
        </w:rPr>
        <w:t>/</w:t>
      </w:r>
      <w:r>
        <w:rPr>
          <w:rFonts w:hint="eastAsia" w:ascii="仿宋_GB2312" w:hAnsi="仿宋_GB2312" w:eastAsia="仿宋_GB2312" w:cs="仿宋_GB2312"/>
          <w:sz w:val="30"/>
          <w:szCs w:val="30"/>
        </w:rPr>
        <w:t>降动作和恢复时间</w:t>
      </w:r>
      <w:r>
        <w:rPr>
          <w:rFonts w:ascii="仿宋_GB2312" w:hAnsi="仿宋_GB2312" w:eastAsia="仿宋_GB2312" w:cs="仿宋_GB2312"/>
          <w:sz w:val="30"/>
          <w:szCs w:val="30"/>
        </w:rPr>
        <w:t>)</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2</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机器人操作稳定性：故障率≤</w:t>
      </w:r>
      <w:r>
        <w:rPr>
          <w:rFonts w:ascii="仿宋_GB2312" w:hAnsi="仿宋_GB2312" w:eastAsia="仿宋_GB2312" w:cs="仿宋_GB2312"/>
          <w:sz w:val="30"/>
          <w:szCs w:val="30"/>
        </w:rPr>
        <w:t>0.1%</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3</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机器人适应环境变化能力：≥</w:t>
      </w:r>
      <w:r>
        <w:rPr>
          <w:rFonts w:ascii="仿宋_GB2312" w:hAnsi="仿宋_GB2312" w:eastAsia="仿宋_GB2312" w:cs="仿宋_GB2312"/>
          <w:sz w:val="30"/>
          <w:szCs w:val="30"/>
        </w:rPr>
        <w:t>90%</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4</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机器人辅助停车，集装箱停靠间距≤</w:t>
      </w:r>
      <w:r>
        <w:rPr>
          <w:rFonts w:ascii="仿宋_GB2312" w:hAnsi="仿宋_GB2312" w:eastAsia="仿宋_GB2312" w:cs="仿宋_GB2312"/>
          <w:sz w:val="30"/>
          <w:szCs w:val="30"/>
        </w:rPr>
        <w:t>30cm</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5</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续航能力，单班作业时长≥6小时；</w:t>
      </w:r>
      <w:r>
        <w:rPr>
          <w:rFonts w:hint="eastAsia" w:ascii="仿宋_GB2312" w:hAnsi="仿宋_GB2312" w:eastAsia="仿宋_GB2312" w:cs="仿宋_GB2312"/>
          <w:sz w:val="30"/>
          <w:szCs w:val="30"/>
          <w:lang w:val="en-US" w:eastAsia="zh-CN"/>
        </w:rPr>
        <w:t>6</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机器人使用寿命≥5年。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02" w:firstLineChars="200"/>
        <w:textAlignment w:val="auto"/>
        <w:rPr>
          <w:rFonts w:ascii="仿宋_GB2312" w:hAnsi="仿宋_GB2312" w:eastAsia="仿宋_GB2312" w:cs="仿宋_GB2312"/>
          <w:sz w:val="30"/>
          <w:szCs w:val="30"/>
        </w:rPr>
      </w:pPr>
      <w:r>
        <w:rPr>
          <w:rFonts w:hint="eastAsia" w:ascii="仿宋_GB2312" w:hAnsi="仿宋_GB2312" w:eastAsia="仿宋_GB2312" w:cs="仿宋_GB2312"/>
          <w:b/>
          <w:bCs/>
          <w:sz w:val="30"/>
          <w:szCs w:val="30"/>
        </w:rPr>
        <w:t>（三）项目交示件：</w:t>
      </w:r>
      <w:r>
        <w:rPr>
          <w:rFonts w:hint="eastAsia" w:ascii="仿宋_GB2312" w:hAnsi="仿宋_GB2312" w:eastAsia="仿宋_GB2312" w:cs="仿宋_GB2312"/>
          <w:sz w:val="30"/>
          <w:szCs w:val="30"/>
          <w:lang w:val="en-US" w:eastAsia="zh-CN"/>
        </w:rPr>
        <w:t>1</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智能移动机器人</w:t>
      </w:r>
      <w:r>
        <w:rPr>
          <w:rFonts w:hint="default" w:ascii="仿宋_GB2312" w:hAnsi="仿宋_GB2312" w:eastAsia="仿宋_GB2312" w:cs="仿宋_GB2312"/>
          <w:sz w:val="30"/>
          <w:szCs w:val="30"/>
          <w:lang w:val="en-US"/>
        </w:rPr>
        <w:t>6台</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2</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机器人相应的管理控制系统（具备可扩展性接口）</w:t>
      </w:r>
      <w:r>
        <w:rPr>
          <w:rFonts w:hint="default" w:ascii="仿宋_GB2312" w:hAnsi="仿宋_GB2312" w:eastAsia="仿宋_GB2312" w:cs="仿宋_GB2312"/>
          <w:sz w:val="30"/>
          <w:szCs w:val="30"/>
          <w:lang w:val="en-US"/>
        </w:rPr>
        <w:t>一套，系统源代码</w:t>
      </w:r>
      <w:r>
        <w:rPr>
          <w:rFonts w:hint="eastAsia" w:ascii="仿宋_GB2312" w:hAnsi="仿宋_GB2312" w:eastAsia="仿宋_GB2312" w:cs="仿宋_GB2312"/>
          <w:sz w:val="30"/>
          <w:szCs w:val="30"/>
        </w:rPr>
        <w:t>；</w:t>
      </w:r>
      <w:r>
        <w:rPr>
          <w:rFonts w:hint="eastAsia" w:ascii="仿宋_GB2312" w:hAnsi="仿宋_GB2312" w:eastAsia="仿宋_GB2312" w:cs="仿宋_GB2312"/>
          <w:sz w:val="30"/>
          <w:szCs w:val="30"/>
          <w:lang w:val="en-US" w:eastAsia="zh-CN"/>
        </w:rPr>
        <w:t>3</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关键技术研究报告、测试报告；</w:t>
      </w:r>
      <w:r>
        <w:rPr>
          <w:rFonts w:hint="eastAsia" w:ascii="仿宋_GB2312" w:hAnsi="仿宋_GB2312" w:eastAsia="仿宋_GB2312" w:cs="仿宋_GB2312"/>
          <w:sz w:val="30"/>
          <w:szCs w:val="30"/>
          <w:lang w:val="en-US" w:eastAsia="zh-CN"/>
        </w:rPr>
        <w:t>4</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高质量论文1篇，</w:t>
      </w:r>
      <w:r>
        <w:rPr>
          <w:rFonts w:hint="default" w:ascii="仿宋_GB2312" w:hAnsi="仿宋_GB2312" w:eastAsia="仿宋_GB2312" w:cs="仿宋_GB2312"/>
          <w:sz w:val="30"/>
          <w:szCs w:val="30"/>
          <w:lang w:val="en-US"/>
        </w:rPr>
        <w:t>申请</w:t>
      </w:r>
      <w:r>
        <w:rPr>
          <w:rFonts w:hint="eastAsia" w:ascii="仿宋_GB2312" w:hAnsi="仿宋_GB2312" w:eastAsia="仿宋_GB2312" w:cs="仿宋_GB2312"/>
          <w:sz w:val="30"/>
          <w:szCs w:val="30"/>
        </w:rPr>
        <w:t>专利成果2项。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02"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b/>
          <w:bCs/>
          <w:sz w:val="30"/>
          <w:szCs w:val="30"/>
        </w:rPr>
        <w:t>（四）项目完成时间：</w:t>
      </w:r>
      <w:r>
        <w:rPr>
          <w:rFonts w:hint="eastAsia" w:ascii="仿宋_GB2312" w:hAnsi="仿宋_GB2312" w:eastAsia="仿宋_GB2312" w:cs="仿宋_GB2312"/>
          <w:sz w:val="30"/>
          <w:szCs w:val="30"/>
          <w:lang w:val="en-US" w:eastAsia="zh-CN"/>
        </w:rPr>
        <w:t>12</w:t>
      </w:r>
      <w:r>
        <w:rPr>
          <w:rFonts w:hint="eastAsia" w:ascii="仿宋_GB2312" w:hAnsi="仿宋_GB2312" w:eastAsia="仿宋_GB2312" w:cs="仿宋_GB2312"/>
          <w:sz w:val="30"/>
          <w:szCs w:val="30"/>
        </w:rPr>
        <w:t>个月</w:t>
      </w:r>
    </w:p>
    <w:p>
      <w:pPr>
        <w:pStyle w:val="2"/>
        <w:pageBreakBefore w:val="0"/>
        <w:widowControl w:val="0"/>
        <w:kinsoku/>
        <w:wordWrap/>
        <w:overflowPunct/>
        <w:topLinePunct w:val="0"/>
        <w:autoSpaceDE/>
        <w:autoSpaceDN/>
        <w:bidi w:val="0"/>
        <w:adjustRightInd/>
        <w:snapToGrid/>
        <w:spacing w:before="0" w:after="0" w:line="560" w:lineRule="exact"/>
        <w:ind w:firstLine="602" w:firstLineChars="200"/>
        <w:textAlignment w:val="auto"/>
        <w:rPr>
          <w:rFonts w:hint="default" w:eastAsia="仿宋_GB2312"/>
          <w:b w:val="0"/>
          <w:bCs w:val="0"/>
          <w:lang w:val="en-US" w:eastAsia="zh-CN"/>
        </w:rPr>
      </w:pPr>
      <w:r>
        <w:rPr>
          <w:rFonts w:hint="eastAsia" w:ascii="仿宋_GB2312" w:hAnsi="仿宋_GB2312" w:eastAsia="仿宋_GB2312" w:cs="仿宋_GB2312"/>
          <w:sz w:val="30"/>
          <w:szCs w:val="30"/>
          <w:lang w:eastAsia="zh-CN"/>
        </w:rPr>
        <w:t>（五）张榜标的额：</w:t>
      </w:r>
      <w:r>
        <w:rPr>
          <w:rFonts w:hint="eastAsia" w:ascii="仿宋_GB2312" w:hAnsi="仿宋_GB2312" w:eastAsia="仿宋_GB2312" w:cs="仿宋_GB2312"/>
          <w:b w:val="0"/>
          <w:bCs w:val="0"/>
          <w:sz w:val="30"/>
          <w:szCs w:val="30"/>
          <w:lang w:eastAsia="zh-CN"/>
        </w:rPr>
        <w:t>不超过</w:t>
      </w:r>
      <w:r>
        <w:rPr>
          <w:rFonts w:hint="eastAsia" w:ascii="仿宋_GB2312" w:hAnsi="仿宋_GB2312" w:eastAsia="仿宋_GB2312" w:cs="仿宋_GB2312"/>
          <w:b w:val="0"/>
          <w:bCs w:val="0"/>
          <w:sz w:val="30"/>
          <w:szCs w:val="30"/>
          <w:lang w:val="en-US" w:eastAsia="zh-CN"/>
        </w:rPr>
        <w:t>450万元</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rPr>
      </w:pPr>
    </w:p>
    <w:p>
      <w:pPr>
        <w:pStyle w:val="3"/>
        <w:rPr>
          <w:rFonts w:hint="eastAsia" w:ascii="仿宋_GB2312" w:hAnsi="仿宋_GB2312" w:eastAsia="仿宋_GB2312" w:cs="仿宋_GB2312"/>
          <w:sz w:val="32"/>
          <w:szCs w:val="32"/>
        </w:rPr>
      </w:pPr>
    </w:p>
    <w:p>
      <w:pPr>
        <w:pStyle w:val="3"/>
        <w:rPr>
          <w:rFonts w:hint="eastAsia" w:ascii="仿宋_GB2312" w:hAnsi="仿宋_GB2312" w:eastAsia="仿宋_GB2312" w:cs="仿宋_GB2312"/>
          <w:sz w:val="32"/>
          <w:szCs w:val="32"/>
        </w:rPr>
      </w:pPr>
    </w:p>
    <w:p>
      <w:pPr>
        <w:pStyle w:val="3"/>
        <w:rPr>
          <w:rFonts w:hint="eastAsia" w:ascii="仿宋_GB2312" w:hAnsi="仿宋_GB2312" w:eastAsia="仿宋_GB2312" w:cs="仿宋_GB2312"/>
          <w:sz w:val="32"/>
          <w:szCs w:val="32"/>
        </w:rPr>
      </w:pPr>
    </w:p>
    <w:p>
      <w:pPr>
        <w:pStyle w:val="3"/>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b w:val="0"/>
          <w:bCs w:val="0"/>
          <w:sz w:val="32"/>
          <w:szCs w:val="32"/>
          <w:lang w:eastAsia="zh-CN"/>
        </w:rPr>
        <w:t>榜单五</w:t>
      </w:r>
      <w:r>
        <w:rPr>
          <w:rFonts w:hint="eastAsia" w:ascii="黑体" w:hAnsi="黑体" w:eastAsia="黑体" w:cs="黑体"/>
          <w:b w:val="0"/>
          <w:bCs w:val="0"/>
          <w:sz w:val="32"/>
          <w:szCs w:val="32"/>
        </w:rPr>
        <w:t>：生物法制备N-乙酰氨基葡萄糖</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ascii="Times New Roman" w:hAnsi="Times New Roman" w:eastAsia="仿宋_GB2312"/>
          <w:sz w:val="32"/>
          <w:szCs w:val="32"/>
          <w:shd w:val="clear" w:color="auto" w:fill="FFFFFF"/>
        </w:rPr>
      </w:pPr>
      <w:r>
        <w:rPr>
          <w:rFonts w:hint="eastAsia" w:ascii="仿宋_GB2312" w:hAnsi="仿宋_GB2312" w:eastAsia="仿宋_GB2312" w:cs="仿宋_GB2312"/>
          <w:b/>
          <w:bCs/>
          <w:sz w:val="32"/>
          <w:szCs w:val="32"/>
          <w:lang w:eastAsia="zh-CN"/>
        </w:rPr>
        <w:t>（一）</w:t>
      </w:r>
      <w:r>
        <w:rPr>
          <w:rFonts w:ascii="Times New Roman" w:hAnsi="Times New Roman" w:eastAsia="仿宋_GB2312"/>
          <w:b/>
          <w:bCs/>
          <w:sz w:val="32"/>
          <w:szCs w:val="32"/>
          <w:shd w:val="clear" w:color="auto" w:fill="FFFFFF"/>
        </w:rPr>
        <w:t>研究内容：</w:t>
      </w:r>
      <w:r>
        <w:rPr>
          <w:rFonts w:ascii="Times New Roman" w:hAnsi="Times New Roman" w:eastAsia="仿宋_GB2312"/>
          <w:sz w:val="32"/>
          <w:szCs w:val="32"/>
        </w:rPr>
        <w:t>包括但不限于</w:t>
      </w:r>
      <w:r>
        <w:rPr>
          <w:rFonts w:hint="eastAsia" w:ascii="Times New Roman" w:hAnsi="Times New Roman" w:eastAsia="仿宋_GB2312"/>
          <w:sz w:val="32"/>
          <w:szCs w:val="32"/>
        </w:rPr>
        <w:t>采用基因敲除、代谢工程等方法构建</w:t>
      </w:r>
      <w:r>
        <w:rPr>
          <w:rFonts w:ascii="Times New Roman" w:hAnsi="Times New Roman" w:eastAsia="仿宋_GB2312"/>
          <w:sz w:val="32"/>
          <w:szCs w:val="32"/>
        </w:rPr>
        <w:t>N-乙酰</w:t>
      </w:r>
      <w:r>
        <w:rPr>
          <w:rFonts w:ascii="Times New Roman" w:hAnsi="Times New Roman" w:eastAsia="仿宋"/>
          <w:sz w:val="32"/>
          <w:szCs w:val="32"/>
        </w:rPr>
        <w:t>氨基葡萄糖</w:t>
      </w:r>
      <w:r>
        <w:rPr>
          <w:rFonts w:ascii="Times New Roman" w:hAnsi="Times New Roman" w:eastAsia="仿宋_GB2312"/>
          <w:sz w:val="32"/>
          <w:szCs w:val="32"/>
        </w:rPr>
        <w:t>高产菌株、高密度发酵工艺开发、提取精制工艺开发和质量分析方法开发。</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Times New Roman" w:hAnsi="Times New Roman" w:eastAsia="仿宋_GB2312"/>
          <w:sz w:val="32"/>
          <w:szCs w:val="32"/>
          <w:lang w:eastAsia="zh-CN"/>
        </w:rPr>
      </w:pPr>
      <w:r>
        <w:rPr>
          <w:rFonts w:hint="eastAsia" w:ascii="Times New Roman" w:hAnsi="Times New Roman" w:eastAsia="仿宋_GB2312"/>
          <w:b/>
          <w:bCs/>
          <w:sz w:val="32"/>
          <w:szCs w:val="32"/>
          <w:shd w:val="clear" w:color="auto" w:fill="FFFFFF"/>
          <w:lang w:eastAsia="zh-CN"/>
        </w:rPr>
        <w:t>（二）技术指</w:t>
      </w:r>
      <w:r>
        <w:rPr>
          <w:rFonts w:ascii="Times New Roman" w:hAnsi="Times New Roman" w:eastAsia="仿宋_GB2312"/>
          <w:b/>
          <w:bCs/>
          <w:sz w:val="32"/>
          <w:szCs w:val="32"/>
          <w:shd w:val="clear" w:color="auto" w:fill="FFFFFF"/>
        </w:rPr>
        <w:t>标：</w:t>
      </w:r>
      <w:r>
        <w:rPr>
          <w:rFonts w:ascii="Times New Roman" w:hAnsi="Times New Roman" w:eastAsia="仿宋_GB2312"/>
          <w:sz w:val="32"/>
          <w:szCs w:val="32"/>
        </w:rPr>
        <w:t>1）菌种：大肠杆菌工程菌或其它生产菌株；2）发酵液中N-乙酰氨基葡萄糖产量不低于</w:t>
      </w:r>
      <w:r>
        <w:rPr>
          <w:rFonts w:hint="eastAsia" w:ascii="Times New Roman" w:hAnsi="Times New Roman" w:eastAsia="仿宋_GB2312"/>
          <w:color w:val="auto"/>
          <w:sz w:val="32"/>
          <w:szCs w:val="32"/>
          <w:lang w:val="en-US" w:eastAsia="zh-CN"/>
        </w:rPr>
        <w:t>20</w:t>
      </w:r>
      <w:r>
        <w:rPr>
          <w:rFonts w:ascii="Times New Roman" w:hAnsi="Times New Roman" w:eastAsia="仿宋_GB2312"/>
          <w:color w:val="auto"/>
          <w:sz w:val="32"/>
          <w:szCs w:val="32"/>
        </w:rPr>
        <w:t>0g/L；</w:t>
      </w:r>
      <w:r>
        <w:rPr>
          <w:rFonts w:ascii="Times New Roman" w:hAnsi="Times New Roman" w:eastAsia="仿宋_GB2312"/>
          <w:sz w:val="32"/>
          <w:szCs w:val="32"/>
        </w:rPr>
        <w:t>3）葡萄糖质量转化率不低于40%；4）产品收率：</w:t>
      </w:r>
      <w:r>
        <w:rPr>
          <w:rFonts w:hint="eastAsia" w:ascii="Times New Roman" w:hAnsi="Times New Roman" w:eastAsia="仿宋_GB2312"/>
          <w:color w:val="auto"/>
          <w:sz w:val="32"/>
          <w:szCs w:val="32"/>
          <w:lang w:val="en-US" w:eastAsia="zh-CN"/>
        </w:rPr>
        <w:t>9</w:t>
      </w:r>
      <w:r>
        <w:rPr>
          <w:rFonts w:ascii="Times New Roman" w:hAnsi="Times New Roman" w:eastAsia="仿宋_GB2312"/>
          <w:color w:val="auto"/>
          <w:sz w:val="32"/>
          <w:szCs w:val="32"/>
        </w:rPr>
        <w:t>0%以上；产品纯度：99%以上；5）大生产</w:t>
      </w:r>
      <w:r>
        <w:rPr>
          <w:rFonts w:hint="eastAsia" w:ascii="Times New Roman" w:hAnsi="Times New Roman" w:eastAsia="仿宋_GB2312"/>
          <w:color w:val="auto"/>
          <w:sz w:val="32"/>
          <w:szCs w:val="32"/>
          <w:lang w:eastAsia="zh-CN"/>
        </w:rPr>
        <w:t>不</w:t>
      </w:r>
      <w:r>
        <w:rPr>
          <w:rFonts w:ascii="Times New Roman" w:hAnsi="Times New Roman" w:eastAsia="仿宋_GB2312"/>
          <w:color w:val="auto"/>
          <w:sz w:val="32"/>
          <w:szCs w:val="32"/>
        </w:rPr>
        <w:t>含税物料成本不高于20元/kg</w:t>
      </w:r>
      <w:r>
        <w:rPr>
          <w:rFonts w:hint="eastAsia" w:ascii="Times New Roman" w:hAnsi="Times New Roman" w:eastAsia="仿宋_GB2312"/>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ascii="Times New Roman" w:hAnsi="Times New Roman" w:eastAsia="仿宋_GB2312"/>
          <w:sz w:val="32"/>
          <w:szCs w:val="32"/>
        </w:rPr>
      </w:pPr>
      <w:r>
        <w:rPr>
          <w:rFonts w:hint="eastAsia" w:ascii="Times New Roman" w:hAnsi="Times New Roman" w:eastAsia="仿宋_GB2312"/>
          <w:b/>
          <w:bCs/>
          <w:sz w:val="32"/>
          <w:szCs w:val="32"/>
          <w:lang w:eastAsia="zh-CN"/>
        </w:rPr>
        <w:t>（三）项目交示件：</w:t>
      </w:r>
      <w:r>
        <w:rPr>
          <w:rFonts w:hint="eastAsia" w:ascii="Times New Roman" w:hAnsi="Times New Roman" w:eastAsia="仿宋_GB2312"/>
          <w:sz w:val="32"/>
          <w:szCs w:val="32"/>
          <w:lang w:eastAsia="zh-CN"/>
        </w:rPr>
        <w:t>1）</w:t>
      </w:r>
      <w:r>
        <w:rPr>
          <w:rFonts w:ascii="Times New Roman" w:hAnsi="Times New Roman" w:eastAsia="仿宋_GB2312"/>
          <w:sz w:val="32"/>
          <w:szCs w:val="32"/>
        </w:rPr>
        <w:t>生产菌种</w:t>
      </w:r>
      <w:r>
        <w:rPr>
          <w:rFonts w:hint="eastAsia" w:ascii="Times New Roman" w:hAnsi="Times New Roman" w:eastAsia="仿宋_GB2312"/>
          <w:sz w:val="32"/>
          <w:szCs w:val="32"/>
          <w:lang w:eastAsia="zh-CN"/>
        </w:rPr>
        <w:t>甘油种</w:t>
      </w:r>
      <w:r>
        <w:rPr>
          <w:rFonts w:hint="eastAsia" w:ascii="Times New Roman" w:hAnsi="Times New Roman" w:eastAsia="仿宋_GB2312"/>
          <w:sz w:val="32"/>
          <w:szCs w:val="32"/>
          <w:lang w:val="en-US" w:eastAsia="zh-CN"/>
        </w:rPr>
        <w:t>10支</w:t>
      </w:r>
      <w:r>
        <w:rPr>
          <w:rFonts w:hint="eastAsia" w:ascii="Times New Roman" w:hAnsi="Times New Roman" w:eastAsia="仿宋_GB2312"/>
          <w:sz w:val="32"/>
          <w:szCs w:val="32"/>
          <w:lang w:eastAsia="zh-CN"/>
        </w:rPr>
        <w:t>；2）</w:t>
      </w:r>
      <w:r>
        <w:rPr>
          <w:rFonts w:ascii="Times New Roman" w:hAnsi="Times New Roman" w:eastAsia="仿宋_GB2312"/>
          <w:sz w:val="32"/>
          <w:szCs w:val="32"/>
        </w:rPr>
        <w:t>发酵相关技术资料：菌种分离及保藏方法，斜面配方及条件，一级种子罐配方及条件，二级种子罐配方及条件，主发酵罐配方及条件，物料及物料质量要求，中控分析方法，产物分析方法，发酵报批，对发酵设备的特殊要求，主要设备清单；</w:t>
      </w:r>
      <w:r>
        <w:rPr>
          <w:rFonts w:hint="eastAsia" w:ascii="Times New Roman" w:hAnsi="Times New Roman" w:eastAsia="仿宋_GB2312"/>
          <w:sz w:val="32"/>
          <w:szCs w:val="32"/>
          <w:lang w:eastAsia="zh-CN"/>
        </w:rPr>
        <w:t>3）</w:t>
      </w:r>
      <w:r>
        <w:rPr>
          <w:rFonts w:ascii="Times New Roman" w:hAnsi="Times New Roman" w:eastAsia="仿宋_GB2312"/>
          <w:sz w:val="32"/>
          <w:szCs w:val="32"/>
        </w:rPr>
        <w:t>提取工艺资料：提取工艺资料是从发酵结束后的发酵液处理开始到可以出售的成品为止。包括：提取工艺原理介绍，提取工艺流程（框图和文字），提取工艺关键控制点和工艺参数，提取设备列表，中控分析方法。</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Times New Roman" w:hAnsi="Times New Roman" w:eastAsia="仿宋_GB2312"/>
          <w:b w:val="0"/>
          <w:bCs w:val="0"/>
          <w:sz w:val="32"/>
          <w:szCs w:val="32"/>
          <w:shd w:val="clear" w:color="auto" w:fill="FFFFFF"/>
          <w:lang w:eastAsia="zh-CN"/>
        </w:rPr>
      </w:pPr>
      <w:r>
        <w:rPr>
          <w:rFonts w:hint="eastAsia" w:ascii="Times New Roman" w:hAnsi="Times New Roman" w:eastAsia="仿宋_GB2312"/>
          <w:b/>
          <w:bCs/>
          <w:sz w:val="32"/>
          <w:szCs w:val="32"/>
          <w:shd w:val="clear" w:color="auto" w:fill="FFFFFF"/>
          <w:lang w:eastAsia="zh-CN"/>
        </w:rPr>
        <w:t>（四）项目完成时间：</w:t>
      </w:r>
      <w:r>
        <w:rPr>
          <w:rFonts w:hint="eastAsia" w:ascii="Times New Roman" w:hAnsi="Times New Roman" w:eastAsia="仿宋_GB2312"/>
          <w:b w:val="0"/>
          <w:bCs w:val="0"/>
          <w:sz w:val="32"/>
          <w:szCs w:val="32"/>
          <w:shd w:val="clear" w:color="auto" w:fill="FFFFFF"/>
          <w:lang w:eastAsia="zh-CN"/>
        </w:rPr>
        <w:t>24个月</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Times New Roman" w:hAnsi="Times New Roman" w:eastAsia="仿宋_GB2312"/>
          <w:b w:val="0"/>
          <w:bCs w:val="0"/>
          <w:sz w:val="32"/>
          <w:szCs w:val="32"/>
          <w:shd w:val="clear" w:color="auto" w:fill="FFFFFF"/>
          <w:lang w:val="en-US" w:eastAsia="zh-CN"/>
        </w:rPr>
      </w:pPr>
      <w:r>
        <w:rPr>
          <w:rFonts w:hint="eastAsia" w:ascii="Times New Roman" w:hAnsi="Times New Roman" w:eastAsia="仿宋_GB2312"/>
          <w:b/>
          <w:bCs/>
          <w:sz w:val="32"/>
          <w:szCs w:val="32"/>
          <w:shd w:val="clear" w:color="auto" w:fill="FFFFFF"/>
          <w:lang w:eastAsia="zh-CN"/>
        </w:rPr>
        <w:t>（五）张榜标的额：</w:t>
      </w:r>
      <w:r>
        <w:rPr>
          <w:rFonts w:hint="eastAsia" w:ascii="Times New Roman" w:hAnsi="Times New Roman" w:eastAsia="仿宋_GB2312"/>
          <w:b w:val="0"/>
          <w:bCs w:val="0"/>
          <w:sz w:val="32"/>
          <w:szCs w:val="32"/>
          <w:shd w:val="clear" w:color="auto" w:fill="FFFFFF"/>
          <w:lang w:eastAsia="zh-CN"/>
        </w:rPr>
        <w:t>不超过</w:t>
      </w:r>
      <w:r>
        <w:rPr>
          <w:rFonts w:hint="eastAsia" w:ascii="Times New Roman" w:hAnsi="Times New Roman" w:eastAsia="仿宋_GB2312"/>
          <w:b w:val="0"/>
          <w:bCs w:val="0"/>
          <w:sz w:val="32"/>
          <w:szCs w:val="32"/>
          <w:shd w:val="clear" w:color="auto" w:fill="FFFFFF"/>
          <w:lang w:val="en-US" w:eastAsia="zh-CN"/>
        </w:rPr>
        <w:t>200万元</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Times New Roman" w:hAnsi="Times New Roman" w:eastAsia="仿宋_GB2312"/>
          <w:b w:val="0"/>
          <w:bCs w:val="0"/>
          <w:sz w:val="32"/>
          <w:szCs w:val="32"/>
          <w:shd w:val="clear" w:color="auto"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榜单六</w:t>
      </w:r>
      <w:r>
        <w:rPr>
          <w:rFonts w:hint="eastAsia" w:ascii="黑体" w:hAnsi="黑体" w:eastAsia="黑体" w:cs="黑体"/>
          <w:b w:val="0"/>
          <w:bCs w:val="0"/>
          <w:sz w:val="32"/>
          <w:szCs w:val="32"/>
        </w:rPr>
        <w:t>：规模化海藻纤维纺丝液高效溶解脱泡关键技术设备</w:t>
      </w:r>
    </w:p>
    <w:p>
      <w:pPr>
        <w:keepNext w:val="0"/>
        <w:keepLines w:val="0"/>
        <w:pageBreakBefore w:val="0"/>
        <w:wordWrap/>
        <w:overflowPunct/>
        <w:topLinePunct w:val="0"/>
        <w:bidi w:val="0"/>
        <w:spacing w:line="560" w:lineRule="exact"/>
        <w:ind w:firstLine="642" w:firstLineChars="200"/>
        <w:rPr>
          <w:rFonts w:hint="default" w:ascii="Times New Roman" w:hAnsi="Times New Roman" w:cs="Times New Roman"/>
        </w:rPr>
      </w:pPr>
      <w:r>
        <w:rPr>
          <w:rFonts w:hint="default" w:ascii="Times New Roman" w:hAnsi="Times New Roman" w:eastAsia="仿宋_GB2312" w:cs="Times New Roman"/>
          <w:b/>
          <w:sz w:val="32"/>
          <w:szCs w:val="32"/>
          <w:shd w:val="clear" w:color="auto" w:fill="FFFFFF"/>
        </w:rPr>
        <w:t>（一）研究内容：</w:t>
      </w:r>
      <w:r>
        <w:rPr>
          <w:rFonts w:hint="default" w:ascii="Times New Roman" w:hAnsi="Times New Roman" w:eastAsia="仿宋_GB2312" w:cs="Times New Roman"/>
          <w:sz w:val="32"/>
          <w:szCs w:val="32"/>
        </w:rPr>
        <w:t>目前在海藻纤维规模化生产中纺丝液的脱泡环节主要是依赖负压静止脱泡，导致生产效率低下，生产成本偏高，严重制约了海藻纤维的市场推广应用。因此实现海藻纤维工艺中纺丝液的高效脱泡，将对我国海藻纤维的规模化制造和应用的行业发展带来巨大的促进作用。</w:t>
      </w:r>
    </w:p>
    <w:p>
      <w:pPr>
        <w:pStyle w:val="3"/>
        <w:keepNext w:val="0"/>
        <w:keepLines w:val="0"/>
        <w:pageBreakBefore w:val="0"/>
        <w:wordWrap/>
        <w:overflowPunct/>
        <w:topLinePunct w:val="0"/>
        <w:bidi w:val="0"/>
        <w:spacing w:after="0" w:line="560" w:lineRule="exact"/>
        <w:ind w:firstLine="64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shd w:val="clear" w:color="auto" w:fill="FFFFFF"/>
        </w:rPr>
        <w:t>（二）技术指标：</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粘度在8-10万CPS的情况下，单台设备的溶解效率达到2-3吨/小时，脱泡效率达到1吨/小时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脱泡效果达到5个/升，气泡直径小于5微米。</w:t>
      </w:r>
    </w:p>
    <w:p>
      <w:pPr>
        <w:pStyle w:val="3"/>
        <w:keepNext w:val="0"/>
        <w:keepLines w:val="0"/>
        <w:pageBreakBefore w:val="0"/>
        <w:wordWrap/>
        <w:overflowPunct/>
        <w:topLinePunct w:val="0"/>
        <w:bidi w:val="0"/>
        <w:spacing w:after="0" w:line="560" w:lineRule="exact"/>
        <w:ind w:firstLine="642" w:firstLineChars="200"/>
        <w:rPr>
          <w:rFonts w:hint="default" w:ascii="Times New Roman" w:hAnsi="Times New Roman" w:eastAsia="仿宋_GB2312" w:cs="Times New Roman"/>
          <w:b/>
          <w:bCs/>
          <w:sz w:val="32"/>
          <w:szCs w:val="32"/>
          <w:shd w:val="clear" w:color="auto" w:fill="FFFFFF"/>
        </w:rPr>
      </w:pPr>
      <w:r>
        <w:rPr>
          <w:rFonts w:hint="default" w:ascii="Times New Roman" w:hAnsi="Times New Roman" w:eastAsia="仿宋_GB2312" w:cs="Times New Roman"/>
          <w:b/>
          <w:bCs/>
          <w:sz w:val="32"/>
          <w:szCs w:val="32"/>
          <w:shd w:val="clear" w:color="auto" w:fill="FFFFFF"/>
        </w:rPr>
        <w:t>（三）项目交示件</w:t>
      </w:r>
      <w:r>
        <w:rPr>
          <w:rFonts w:hint="default" w:ascii="Times New Roman" w:hAnsi="Times New Roman" w:eastAsia="仿宋_GB2312" w:cs="Times New Roman"/>
          <w:b/>
          <w:bCs/>
          <w:sz w:val="32"/>
          <w:szCs w:val="32"/>
          <w:shd w:val="clear" w:color="auto" w:fill="FFFFFF"/>
          <w:lang w:eastAsia="zh-CN"/>
        </w:rPr>
        <w:t>：</w:t>
      </w:r>
      <w:r>
        <w:rPr>
          <w:rFonts w:hint="default" w:ascii="Times New Roman" w:hAnsi="Times New Roman" w:eastAsia="仿宋_GB2312" w:cs="Times New Roman"/>
          <w:sz w:val="32"/>
          <w:szCs w:val="32"/>
        </w:rPr>
        <w:t>海藻纤维纺丝液溶解脱泡设备一套，第三方检测结果。</w:t>
      </w:r>
    </w:p>
    <w:p>
      <w:pPr>
        <w:pStyle w:val="3"/>
        <w:keepNext w:val="0"/>
        <w:keepLines w:val="0"/>
        <w:pageBreakBefore w:val="0"/>
        <w:wordWrap/>
        <w:overflowPunct/>
        <w:topLinePunct w:val="0"/>
        <w:bidi w:val="0"/>
        <w:spacing w:after="0" w:line="560" w:lineRule="exact"/>
        <w:ind w:firstLine="642" w:firstLineChars="200"/>
        <w:rPr>
          <w:rFonts w:hint="default" w:ascii="Times New Roman" w:hAnsi="Times New Roman" w:eastAsia="仿宋_GB2312" w:cs="Times New Roman"/>
          <w:b w:val="0"/>
          <w:bCs w:val="0"/>
          <w:sz w:val="32"/>
          <w:szCs w:val="32"/>
          <w:shd w:val="clear" w:color="auto" w:fill="FFFFFF"/>
        </w:rPr>
      </w:pPr>
      <w:r>
        <w:rPr>
          <w:rFonts w:hint="default" w:ascii="Times New Roman" w:hAnsi="Times New Roman" w:eastAsia="仿宋_GB2312" w:cs="Times New Roman"/>
          <w:b/>
          <w:bCs/>
          <w:sz w:val="32"/>
          <w:szCs w:val="32"/>
          <w:shd w:val="clear" w:color="auto" w:fill="FFFFFF"/>
        </w:rPr>
        <w:t>（四）项目完成时间：</w:t>
      </w:r>
      <w:r>
        <w:rPr>
          <w:rFonts w:hint="default" w:ascii="Times New Roman" w:hAnsi="Times New Roman" w:eastAsia="仿宋_GB2312" w:cs="Times New Roman"/>
          <w:b w:val="0"/>
          <w:bCs w:val="0"/>
          <w:sz w:val="32"/>
          <w:szCs w:val="32"/>
          <w:shd w:val="clear" w:color="auto" w:fill="FFFFFF"/>
          <w:lang w:val="en-US" w:eastAsia="zh-CN"/>
        </w:rPr>
        <w:t>12</w:t>
      </w:r>
      <w:r>
        <w:rPr>
          <w:rFonts w:hint="default" w:ascii="Times New Roman" w:hAnsi="Times New Roman" w:eastAsia="仿宋_GB2312" w:cs="Times New Roman"/>
          <w:b w:val="0"/>
          <w:bCs w:val="0"/>
          <w:sz w:val="32"/>
          <w:szCs w:val="32"/>
          <w:shd w:val="clear" w:color="auto" w:fill="FFFFFF"/>
        </w:rPr>
        <w:t>个月</w:t>
      </w:r>
    </w:p>
    <w:p>
      <w:pPr>
        <w:pStyle w:val="2"/>
        <w:pageBreakBefore w:val="0"/>
        <w:widowControl w:val="0"/>
        <w:kinsoku/>
        <w:wordWrap/>
        <w:overflowPunct/>
        <w:topLinePunct w:val="0"/>
        <w:autoSpaceDE/>
        <w:autoSpaceDN/>
        <w:bidi w:val="0"/>
        <w:adjustRightInd/>
        <w:snapToGrid/>
        <w:spacing w:before="0" w:after="0" w:line="560" w:lineRule="exact"/>
        <w:ind w:firstLine="642"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sz w:val="32"/>
          <w:szCs w:val="32"/>
          <w:lang w:eastAsia="zh-CN"/>
        </w:rPr>
        <w:t>（五）张榜标的额：</w:t>
      </w:r>
      <w:r>
        <w:rPr>
          <w:rFonts w:hint="default" w:ascii="Times New Roman" w:hAnsi="Times New Roman" w:eastAsia="仿宋_GB2312" w:cs="Times New Roman"/>
          <w:b w:val="0"/>
          <w:bCs w:val="0"/>
          <w:sz w:val="32"/>
          <w:szCs w:val="32"/>
          <w:lang w:eastAsia="zh-CN"/>
        </w:rPr>
        <w:t>不超过</w:t>
      </w:r>
      <w:r>
        <w:rPr>
          <w:rFonts w:hint="default" w:ascii="Times New Roman" w:hAnsi="Times New Roman" w:eastAsia="仿宋_GB2312" w:cs="Times New Roman"/>
          <w:b w:val="0"/>
          <w:bCs w:val="0"/>
          <w:sz w:val="32"/>
          <w:szCs w:val="32"/>
          <w:lang w:val="en-US" w:eastAsia="zh-CN"/>
        </w:rPr>
        <w:t>300万元</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spacing w:line="520" w:lineRule="exact"/>
        <w:ind w:firstLine="640" w:firstLineChars="200"/>
        <w:jc w:val="left"/>
        <w:rPr>
          <w:rFonts w:hint="eastAsia" w:ascii="方正小标宋简体" w:hAnsi="方正小标宋简体" w:eastAsia="方正小标宋简体"/>
          <w:sz w:val="44"/>
          <w:szCs w:val="44"/>
        </w:rPr>
      </w:pPr>
      <w:r>
        <w:rPr>
          <w:rFonts w:hint="eastAsia" w:ascii="黑体" w:hAnsi="黑体" w:eastAsia="黑体" w:cs="黑体"/>
          <w:b w:val="0"/>
          <w:bCs w:val="0"/>
          <w:sz w:val="32"/>
          <w:szCs w:val="32"/>
        </w:rPr>
        <w:t>榜单</w:t>
      </w:r>
      <w:r>
        <w:rPr>
          <w:rFonts w:hint="eastAsia" w:ascii="黑体" w:hAnsi="黑体" w:eastAsia="黑体" w:cs="黑体"/>
          <w:b w:val="0"/>
          <w:bCs w:val="0"/>
          <w:sz w:val="32"/>
          <w:szCs w:val="32"/>
          <w:lang w:eastAsia="zh-CN"/>
        </w:rPr>
        <w:t>七</w:t>
      </w:r>
      <w:r>
        <w:rPr>
          <w:rFonts w:hint="eastAsia" w:ascii="黑体" w:hAnsi="黑体" w:eastAsia="黑体" w:cs="黑体"/>
          <w:b w:val="0"/>
          <w:bCs w:val="0"/>
          <w:sz w:val="32"/>
          <w:szCs w:val="32"/>
        </w:rPr>
        <w:t>：</w:t>
      </w:r>
      <w:r>
        <w:rPr>
          <w:rFonts w:hint="eastAsia" w:ascii="黑体" w:hAnsi="黑体" w:eastAsia="黑体" w:cs="黑体"/>
          <w:b w:val="0"/>
          <w:bCs w:val="0"/>
          <w:sz w:val="32"/>
          <w:szCs w:val="32"/>
          <w:lang w:eastAsia="zh-CN"/>
        </w:rPr>
        <w:t>农药</w:t>
      </w:r>
      <w:r>
        <w:rPr>
          <w:rFonts w:hint="eastAsia" w:ascii="黑体" w:hAnsi="黑体" w:eastAsia="黑体" w:cs="黑体"/>
          <w:b w:val="0"/>
          <w:bCs w:val="0"/>
          <w:sz w:val="32"/>
          <w:szCs w:val="32"/>
          <w:lang w:val="en-US" w:eastAsia="zh-CN"/>
        </w:rPr>
        <w:t>2,4-D原药分离萃取除盐</w:t>
      </w:r>
      <w:r>
        <w:rPr>
          <w:rFonts w:hint="eastAsia" w:ascii="黑体" w:hAnsi="黑体" w:eastAsia="黑体" w:cs="黑体"/>
          <w:b w:val="0"/>
          <w:bCs w:val="0"/>
          <w:sz w:val="32"/>
          <w:szCs w:val="32"/>
        </w:rPr>
        <w:t>关键技术开发</w:t>
      </w:r>
    </w:p>
    <w:p>
      <w:pPr>
        <w:pStyle w:val="6"/>
        <w:spacing w:after="0" w:line="560" w:lineRule="exact"/>
        <w:ind w:firstLine="642" w:firstLineChars="200"/>
        <w:rPr>
          <w:rFonts w:hint="default" w:ascii="Times New Roman" w:hAnsi="Times New Roman" w:eastAsia="仿宋_GB2312" w:cs="Times New Roman"/>
          <w:b/>
          <w:bCs/>
          <w:color w:val="000000"/>
          <w:sz w:val="32"/>
          <w:szCs w:val="32"/>
          <w:shd w:val="clear" w:color="auto" w:fill="FFFFFF"/>
        </w:rPr>
      </w:pPr>
      <w:r>
        <w:rPr>
          <w:rFonts w:hint="default" w:ascii="Times New Roman" w:hAnsi="Times New Roman" w:eastAsia="仿宋_GB2312" w:cs="Times New Roman"/>
          <w:b/>
          <w:bCs/>
          <w:color w:val="000000"/>
          <w:sz w:val="32"/>
          <w:szCs w:val="32"/>
          <w:shd w:val="clear" w:color="auto" w:fill="FFFFFF"/>
          <w:lang w:eastAsia="zh-CN"/>
        </w:rPr>
        <w:t>（</w:t>
      </w:r>
      <w:r>
        <w:rPr>
          <w:rFonts w:hint="default" w:ascii="Times New Roman" w:hAnsi="Times New Roman" w:eastAsia="仿宋_GB2312" w:cs="Times New Roman"/>
          <w:b/>
          <w:bCs/>
          <w:color w:val="000000"/>
          <w:sz w:val="32"/>
          <w:szCs w:val="32"/>
          <w:shd w:val="clear" w:color="auto" w:fill="FFFFFF"/>
        </w:rPr>
        <w:t>一</w:t>
      </w:r>
      <w:r>
        <w:rPr>
          <w:rFonts w:hint="default" w:ascii="Times New Roman" w:hAnsi="Times New Roman" w:eastAsia="仿宋_GB2312" w:cs="Times New Roman"/>
          <w:b/>
          <w:bCs/>
          <w:color w:val="000000"/>
          <w:sz w:val="32"/>
          <w:szCs w:val="32"/>
          <w:shd w:val="clear" w:color="auto" w:fill="FFFFFF"/>
          <w:lang w:eastAsia="zh-CN"/>
        </w:rPr>
        <w:t>）</w:t>
      </w:r>
      <w:r>
        <w:rPr>
          <w:rFonts w:hint="default" w:ascii="Times New Roman" w:hAnsi="Times New Roman" w:eastAsia="仿宋_GB2312" w:cs="Times New Roman"/>
          <w:b/>
          <w:bCs/>
          <w:color w:val="000000"/>
          <w:sz w:val="32"/>
          <w:szCs w:val="32"/>
          <w:shd w:val="clear" w:color="auto" w:fill="FFFFFF"/>
        </w:rPr>
        <w:t>研究内容：</w:t>
      </w:r>
      <w:r>
        <w:rPr>
          <w:rFonts w:hint="default" w:ascii="Times New Roman" w:hAnsi="Times New Roman" w:eastAsia="仿宋" w:cs="Times New Roman"/>
          <w:color w:val="000000"/>
          <w:sz w:val="32"/>
          <w:szCs w:val="32"/>
        </w:rPr>
        <w:t>针对现有釜式</w:t>
      </w:r>
      <w:r>
        <w:rPr>
          <w:rFonts w:hint="default" w:ascii="Times New Roman" w:hAnsi="Times New Roman" w:eastAsia="仿宋_GB2312" w:cs="Times New Roman"/>
          <w:color w:val="000000"/>
          <w:sz w:val="32"/>
          <w:szCs w:val="32"/>
          <w:lang w:val="en-US" w:eastAsia="zh-CN"/>
        </w:rPr>
        <w:t>2,4-D除盐工艺需要大量水及复杂工序等问题，开发新式塔式连续化工艺实现高效除盐纯化产品。重点突破特种材料的加工(锆材)，新型塔设计(塔中搅拌、构件设计)等难题，并实现产业化。</w:t>
      </w:r>
    </w:p>
    <w:p>
      <w:pPr>
        <w:pStyle w:val="6"/>
        <w:spacing w:after="0" w:line="560" w:lineRule="exact"/>
        <w:ind w:firstLine="642" w:firstLineChars="200"/>
        <w:rPr>
          <w:rFonts w:hint="default" w:ascii="Times New Roman" w:hAnsi="Times New Roman" w:eastAsia="仿宋" w:cs="Times New Roman"/>
          <w:color w:val="000000"/>
          <w:sz w:val="32"/>
          <w:szCs w:val="32"/>
          <w:lang w:val="en-US" w:eastAsia="zh-CN"/>
        </w:rPr>
      </w:pPr>
      <w:r>
        <w:rPr>
          <w:rFonts w:hint="default" w:ascii="Times New Roman" w:hAnsi="Times New Roman" w:eastAsia="仿宋_GB2312" w:cs="Times New Roman"/>
          <w:b/>
          <w:bCs/>
          <w:color w:val="000000"/>
          <w:sz w:val="32"/>
          <w:szCs w:val="32"/>
          <w:shd w:val="clear" w:color="auto" w:fill="FFFFFF"/>
          <w:lang w:eastAsia="zh-CN"/>
        </w:rPr>
        <w:t>（</w:t>
      </w:r>
      <w:r>
        <w:rPr>
          <w:rFonts w:hint="default" w:ascii="Times New Roman" w:hAnsi="Times New Roman" w:eastAsia="仿宋_GB2312" w:cs="Times New Roman"/>
          <w:b/>
          <w:bCs/>
          <w:color w:val="000000"/>
          <w:sz w:val="32"/>
          <w:szCs w:val="32"/>
          <w:shd w:val="clear" w:color="auto" w:fill="FFFFFF"/>
        </w:rPr>
        <w:t>二</w:t>
      </w:r>
      <w:r>
        <w:rPr>
          <w:rFonts w:hint="default" w:ascii="Times New Roman" w:hAnsi="Times New Roman" w:eastAsia="仿宋_GB2312" w:cs="Times New Roman"/>
          <w:b/>
          <w:bCs/>
          <w:color w:val="000000"/>
          <w:sz w:val="32"/>
          <w:szCs w:val="32"/>
          <w:shd w:val="clear" w:color="auto" w:fill="FFFFFF"/>
          <w:lang w:eastAsia="zh-CN"/>
        </w:rPr>
        <w:t>）</w:t>
      </w:r>
      <w:r>
        <w:rPr>
          <w:rFonts w:hint="default" w:ascii="Times New Roman" w:hAnsi="Times New Roman" w:eastAsia="仿宋_GB2312" w:cs="Times New Roman"/>
          <w:b/>
          <w:bCs/>
          <w:color w:val="000000"/>
          <w:sz w:val="32"/>
          <w:szCs w:val="32"/>
          <w:shd w:val="clear" w:color="auto" w:fill="FFFFFF"/>
        </w:rPr>
        <w:t>技术指标：</w:t>
      </w:r>
      <w:r>
        <w:rPr>
          <w:rFonts w:hint="default" w:ascii="Times New Roman" w:hAnsi="Times New Roman" w:eastAsia="仿宋_GB2312" w:cs="Times New Roman"/>
          <w:color w:val="000000"/>
          <w:sz w:val="32"/>
          <w:szCs w:val="32"/>
        </w:rPr>
        <w:t>1）产品要求盐含量低于0.1%</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2）处理量300</w:t>
      </w:r>
      <w:r>
        <w:rPr>
          <w:rFonts w:hint="default" w:ascii="Times New Roman" w:hAnsi="Times New Roman" w:eastAsia="仿宋_GB2312" w:cs="Times New Roman"/>
          <w:color w:val="000000"/>
          <w:sz w:val="32"/>
          <w:szCs w:val="32"/>
          <w:lang w:val="en-US" w:eastAsia="zh-CN"/>
        </w:rPr>
        <w:t>0</w:t>
      </w:r>
      <w:r>
        <w:rPr>
          <w:rFonts w:hint="default" w:ascii="Times New Roman" w:hAnsi="Times New Roman" w:eastAsia="仿宋_GB2312" w:cs="Times New Roman"/>
          <w:color w:val="000000"/>
          <w:sz w:val="32"/>
          <w:szCs w:val="32"/>
        </w:rPr>
        <w:t>kg/h</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产品耗水量降低至</w:t>
      </w:r>
      <w:r>
        <w:rPr>
          <w:rFonts w:hint="default" w:ascii="Times New Roman" w:hAnsi="Times New Roman" w:eastAsia="仿宋_GB2312" w:cs="Times New Roman"/>
          <w:color w:val="000000"/>
          <w:sz w:val="32"/>
          <w:szCs w:val="32"/>
          <w:lang w:val="en-US" w:eastAsia="zh-CN"/>
        </w:rPr>
        <w:t>2吨/吨</w:t>
      </w:r>
      <w:r>
        <w:rPr>
          <w:rFonts w:hint="default" w:ascii="Times New Roman" w:hAnsi="Times New Roman" w:eastAsia="仿宋" w:cs="Times New Roman"/>
          <w:color w:val="000000"/>
          <w:sz w:val="32"/>
          <w:szCs w:val="32"/>
          <w:lang w:val="en-US" w:eastAsia="zh-CN"/>
        </w:rPr>
        <w:t>。</w:t>
      </w:r>
    </w:p>
    <w:p>
      <w:pPr>
        <w:pStyle w:val="6"/>
        <w:spacing w:after="0" w:line="560" w:lineRule="exact"/>
        <w:ind w:firstLine="642" w:firstLineChars="200"/>
        <w:rPr>
          <w:rFonts w:hint="default" w:ascii="Times New Roman" w:hAnsi="Times New Roman" w:eastAsia="仿宋_GB2312" w:cs="Times New Roman"/>
          <w:b w:val="0"/>
          <w:bCs/>
          <w:sz w:val="32"/>
          <w:shd w:val="clear" w:color="auto" w:fill="FFFFFF"/>
        </w:rPr>
      </w:pPr>
      <w:r>
        <w:rPr>
          <w:rFonts w:hint="default" w:ascii="Times New Roman" w:hAnsi="Times New Roman" w:eastAsia="仿宋_GB2312" w:cs="Times New Roman"/>
          <w:b/>
          <w:sz w:val="32"/>
          <w:shd w:val="clear" w:color="auto" w:fill="FFFFFF"/>
          <w:lang w:eastAsia="zh-CN"/>
        </w:rPr>
        <w:t>（</w:t>
      </w:r>
      <w:r>
        <w:rPr>
          <w:rFonts w:hint="default" w:ascii="Times New Roman" w:hAnsi="Times New Roman" w:eastAsia="仿宋_GB2312" w:cs="Times New Roman"/>
          <w:b/>
          <w:sz w:val="32"/>
          <w:shd w:val="clear" w:color="auto" w:fill="FFFFFF"/>
        </w:rPr>
        <w:t>三</w:t>
      </w:r>
      <w:r>
        <w:rPr>
          <w:rFonts w:hint="default" w:ascii="Times New Roman" w:hAnsi="Times New Roman" w:eastAsia="仿宋_GB2312" w:cs="Times New Roman"/>
          <w:b/>
          <w:sz w:val="32"/>
          <w:shd w:val="clear" w:color="auto" w:fill="FFFFFF"/>
          <w:lang w:eastAsia="zh-CN"/>
        </w:rPr>
        <w:t>）</w:t>
      </w:r>
      <w:r>
        <w:rPr>
          <w:rFonts w:hint="default" w:ascii="Times New Roman" w:hAnsi="Times New Roman" w:eastAsia="仿宋_GB2312" w:cs="Times New Roman"/>
          <w:b/>
          <w:sz w:val="32"/>
          <w:shd w:val="clear" w:color="auto" w:fill="FFFFFF"/>
        </w:rPr>
        <w:t>项目交示件</w:t>
      </w:r>
      <w:r>
        <w:rPr>
          <w:rFonts w:hint="default" w:ascii="Times New Roman" w:hAnsi="Times New Roman" w:eastAsia="仿宋_GB2312" w:cs="Times New Roman"/>
          <w:b/>
          <w:sz w:val="32"/>
          <w:shd w:val="clear" w:color="auto" w:fill="FFFFFF"/>
          <w:lang w:eastAsia="zh-CN"/>
        </w:rPr>
        <w:t>：</w:t>
      </w:r>
      <w:r>
        <w:rPr>
          <w:rFonts w:hint="default" w:ascii="Times New Roman" w:hAnsi="Times New Roman" w:eastAsia="仿宋_GB2312" w:cs="Times New Roman"/>
          <w:b w:val="0"/>
          <w:bCs/>
          <w:sz w:val="32"/>
          <w:shd w:val="clear" w:color="auto" w:fill="FFFFFF"/>
        </w:rPr>
        <w:t>连续萃取塔一座，质保期稳定运行，通过第三方检测报告。</w:t>
      </w:r>
    </w:p>
    <w:p>
      <w:pPr>
        <w:pStyle w:val="6"/>
        <w:spacing w:after="0" w:line="560" w:lineRule="exact"/>
        <w:ind w:firstLine="642" w:firstLineChars="200"/>
        <w:rPr>
          <w:rFonts w:hint="default" w:ascii="Times New Roman" w:hAnsi="Times New Roman" w:eastAsia="仿宋_GB2312" w:cs="Times New Roman"/>
          <w:b w:val="0"/>
          <w:bCs w:val="0"/>
          <w:sz w:val="32"/>
          <w:szCs w:val="32"/>
          <w:shd w:val="clear" w:color="auto" w:fill="FFFFFF"/>
        </w:rPr>
      </w:pPr>
      <w:r>
        <w:rPr>
          <w:rFonts w:hint="default" w:ascii="Times New Roman" w:hAnsi="Times New Roman" w:eastAsia="仿宋_GB2312" w:cs="Times New Roman"/>
          <w:b/>
          <w:bCs/>
          <w:sz w:val="32"/>
          <w:szCs w:val="32"/>
          <w:shd w:val="clear" w:color="auto" w:fill="FFFFFF"/>
          <w:lang w:eastAsia="zh-CN"/>
        </w:rPr>
        <w:t>（</w:t>
      </w:r>
      <w:r>
        <w:rPr>
          <w:rFonts w:hint="default" w:ascii="Times New Roman" w:hAnsi="Times New Roman" w:eastAsia="仿宋_GB2312" w:cs="Times New Roman"/>
          <w:b/>
          <w:bCs/>
          <w:sz w:val="32"/>
          <w:szCs w:val="32"/>
          <w:shd w:val="clear" w:color="auto" w:fill="FFFFFF"/>
        </w:rPr>
        <w:t>四</w:t>
      </w:r>
      <w:r>
        <w:rPr>
          <w:rFonts w:hint="default" w:ascii="Times New Roman" w:hAnsi="Times New Roman" w:eastAsia="仿宋_GB2312" w:cs="Times New Roman"/>
          <w:b/>
          <w:bCs/>
          <w:sz w:val="32"/>
          <w:szCs w:val="32"/>
          <w:shd w:val="clear" w:color="auto" w:fill="FFFFFF"/>
          <w:lang w:eastAsia="zh-CN"/>
        </w:rPr>
        <w:t>）</w:t>
      </w:r>
      <w:r>
        <w:rPr>
          <w:rFonts w:hint="default" w:ascii="Times New Roman" w:hAnsi="Times New Roman" w:eastAsia="仿宋_GB2312" w:cs="Times New Roman"/>
          <w:b/>
          <w:bCs/>
          <w:sz w:val="30"/>
          <w:szCs w:val="30"/>
        </w:rPr>
        <w:t>项目完成时间：</w:t>
      </w:r>
      <w:r>
        <w:rPr>
          <w:rFonts w:hint="default" w:ascii="Times New Roman" w:hAnsi="Times New Roman" w:eastAsia="仿宋_GB2312" w:cs="Times New Roman"/>
          <w:b w:val="0"/>
          <w:bCs w:val="0"/>
          <w:sz w:val="32"/>
          <w:szCs w:val="32"/>
          <w:shd w:val="clear" w:color="auto" w:fill="FFFFFF"/>
        </w:rPr>
        <w:t>36个月</w:t>
      </w:r>
    </w:p>
    <w:p>
      <w:pPr>
        <w:pStyle w:val="6"/>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default" w:ascii="Times New Roman" w:hAnsi="Times New Roman" w:eastAsia="仿宋_GB2312" w:cs="Times New Roman"/>
          <w:b w:val="0"/>
          <w:bCs/>
          <w:sz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eastAsia="zh-CN"/>
        </w:rPr>
        <w:t>五</w:t>
      </w:r>
      <w:r>
        <w:rPr>
          <w:rFonts w:hint="default" w:ascii="Times New Roman" w:hAnsi="Times New Roman" w:eastAsia="仿宋_GB2312" w:cs="Times New Roman"/>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eastAsia="zh-CN"/>
        </w:rPr>
        <w:t>张榜标的额：</w:t>
      </w:r>
      <w:r>
        <w:rPr>
          <w:rFonts w:hint="default" w:ascii="Times New Roman" w:hAnsi="Times New Roman" w:eastAsia="仿宋_GB2312" w:cs="Times New Roman"/>
          <w:b w:val="0"/>
          <w:bCs/>
          <w:sz w:val="32"/>
          <w:shd w:val="clear" w:color="auto" w:fill="FFFFFF"/>
          <w:lang w:eastAsia="zh-CN"/>
        </w:rPr>
        <w:t>不超过</w:t>
      </w:r>
      <w:r>
        <w:rPr>
          <w:rFonts w:hint="default" w:ascii="Times New Roman" w:hAnsi="Times New Roman" w:eastAsia="仿宋_GB2312" w:cs="Times New Roman"/>
          <w:b w:val="0"/>
          <w:bCs/>
          <w:sz w:val="32"/>
          <w:shd w:val="clear" w:color="auto" w:fill="FFFFFF"/>
          <w:lang w:val="en-US" w:eastAsia="zh-CN"/>
        </w:rPr>
        <w:t>600万元</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Times New Roman" w:hAnsi="Times New Roman" w:eastAsia="仿宋_GB2312"/>
          <w:b w:val="0"/>
          <w:bCs w:val="0"/>
          <w:sz w:val="32"/>
          <w:szCs w:val="32"/>
          <w:shd w:val="clear" w:color="auto" w:fill="FFFFFF"/>
          <w:lang w:val="en-US" w:eastAsia="zh-CN"/>
        </w:rPr>
      </w:pP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黑体" w:cs="Times New Roman"/>
          <w:b w:val="0"/>
          <w:bCs w:val="0"/>
          <w:kern w:val="2"/>
          <w:sz w:val="32"/>
          <w:szCs w:val="32"/>
          <w:lang w:val="en-US" w:eastAsia="zh-CN" w:bidi="ar-SA"/>
        </w:rPr>
        <w:t>榜单</w:t>
      </w:r>
      <w:r>
        <w:rPr>
          <w:rFonts w:hint="eastAsia" w:ascii="Times New Roman" w:hAnsi="Times New Roman" w:eastAsia="黑体" w:cs="Times New Roman"/>
          <w:b w:val="0"/>
          <w:bCs w:val="0"/>
          <w:kern w:val="2"/>
          <w:sz w:val="32"/>
          <w:szCs w:val="32"/>
          <w:lang w:val="en-US" w:eastAsia="zh-CN" w:bidi="ar-SA"/>
        </w:rPr>
        <w:t>八</w:t>
      </w:r>
      <w:r>
        <w:rPr>
          <w:rFonts w:hint="default" w:ascii="Times New Roman" w:hAnsi="Times New Roman" w:eastAsia="黑体" w:cs="Times New Roman"/>
          <w:b w:val="0"/>
          <w:bCs w:val="0"/>
          <w:kern w:val="2"/>
          <w:sz w:val="32"/>
          <w:szCs w:val="32"/>
          <w:lang w:val="en-US" w:eastAsia="zh-CN" w:bidi="ar-SA"/>
        </w:rPr>
        <w:t>：蓝莓微生物菌生物基质研发</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2"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（一）研究内容</w:t>
      </w:r>
      <w:r>
        <w:rPr>
          <w:rFonts w:hint="default" w:ascii="Times New Roman" w:hAnsi="Times New Roman" w:eastAsia="仿宋_GB2312" w:cs="Times New Roman"/>
          <w:kern w:val="2"/>
          <w:sz w:val="32"/>
          <w:szCs w:val="32"/>
          <w:lang w:val="en-US" w:eastAsia="zh-CN" w:bidi="ar-SA"/>
        </w:rPr>
        <w:t>：针对蓝莓基质栽培根系横向生长和竖向生长的各种指标要求，研发微生物菌生物基质2种，实现蓝莓根系快速生长及生物防控，推动产业化发展。</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2"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（二）技术指标</w:t>
      </w:r>
      <w:r>
        <w:rPr>
          <w:rFonts w:hint="default" w:ascii="Times New Roman" w:hAnsi="Times New Roman" w:eastAsia="仿宋_GB2312" w:cs="Times New Roman"/>
          <w:kern w:val="2"/>
          <w:sz w:val="32"/>
          <w:szCs w:val="32"/>
          <w:lang w:val="en-US" w:eastAsia="zh-CN" w:bidi="ar-SA"/>
        </w:rPr>
        <w:t>：1）研发蓝莓专用生物基质2种，达到基质保水性5倍以上；2）生物基质中微生物菌群6种以上，pH值在4.5-5之间，EC值在300以内；3）从幼苗到单株产量2公斤，实现10个月之内，有效节省肥料20%以内。</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2" w:firstLineChars="200"/>
        <w:jc w:val="both"/>
        <w:textAlignment w:val="auto"/>
        <w:rPr>
          <w:rFonts w:hint="default" w:ascii="Times New Roman" w:hAnsi="Times New Roman" w:eastAsia="仿宋_GB2312" w:cs="Times New Roman"/>
          <w:b/>
          <w:bCs/>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（三）项目交示件：</w:t>
      </w:r>
      <w:r>
        <w:rPr>
          <w:rFonts w:hint="default" w:ascii="Times New Roman" w:hAnsi="Times New Roman" w:eastAsia="仿宋_GB2312" w:cs="Times New Roman"/>
          <w:b w:val="0"/>
          <w:bCs w:val="0"/>
          <w:kern w:val="2"/>
          <w:sz w:val="32"/>
          <w:szCs w:val="32"/>
          <w:lang w:val="en-US" w:eastAsia="zh-CN" w:bidi="ar-SA"/>
        </w:rPr>
        <w:t>两种蓝莓专用微生物菌基质。</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2"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（四）项目完成时间：</w:t>
      </w:r>
      <w:r>
        <w:rPr>
          <w:rFonts w:hint="default" w:ascii="Times New Roman" w:hAnsi="Times New Roman" w:eastAsia="仿宋_GB2312" w:cs="Times New Roman"/>
          <w:kern w:val="2"/>
          <w:sz w:val="32"/>
          <w:szCs w:val="32"/>
          <w:lang w:val="en-US" w:eastAsia="zh-CN" w:bidi="ar-SA"/>
        </w:rPr>
        <w:t>12个月</w:t>
      </w:r>
    </w:p>
    <w:p>
      <w:pPr>
        <w:pStyle w:val="2"/>
        <w:pageBreakBefore w:val="0"/>
        <w:widowControl w:val="0"/>
        <w:kinsoku/>
        <w:wordWrap/>
        <w:overflowPunct/>
        <w:topLinePunct w:val="0"/>
        <w:autoSpaceDE/>
        <w:autoSpaceDN/>
        <w:bidi w:val="0"/>
        <w:adjustRightInd/>
        <w:snapToGrid/>
        <w:spacing w:before="0" w:after="0" w:line="560" w:lineRule="exact"/>
        <w:ind w:firstLine="602" w:firstLineChars="200"/>
        <w:textAlignment w:val="auto"/>
        <w:rPr>
          <w:rFonts w:hint="default" w:ascii="Times New Roman" w:hAnsi="Times New Roman" w:eastAsia="仿宋_GB2312" w:cs="Times New Roman"/>
          <w:b w:val="0"/>
          <w:bCs w:val="0"/>
          <w:lang w:val="en-US" w:eastAsia="zh-CN"/>
        </w:rPr>
      </w:pPr>
      <w:r>
        <w:rPr>
          <w:rFonts w:hint="default" w:ascii="Times New Roman" w:hAnsi="Times New Roman" w:eastAsia="仿宋_GB2312" w:cs="Times New Roman"/>
          <w:sz w:val="30"/>
          <w:szCs w:val="30"/>
          <w:lang w:eastAsia="zh-CN"/>
        </w:rPr>
        <w:t>（五）张榜标的额：</w:t>
      </w:r>
      <w:r>
        <w:rPr>
          <w:rFonts w:hint="default" w:ascii="Times New Roman" w:hAnsi="Times New Roman" w:eastAsia="仿宋_GB2312" w:cs="Times New Roman"/>
          <w:b w:val="0"/>
          <w:bCs w:val="0"/>
          <w:sz w:val="30"/>
          <w:szCs w:val="30"/>
          <w:lang w:eastAsia="zh-CN"/>
        </w:rPr>
        <w:t>不超过</w:t>
      </w:r>
      <w:r>
        <w:rPr>
          <w:rFonts w:hint="default" w:ascii="Times New Roman" w:hAnsi="Times New Roman" w:eastAsia="仿宋_GB2312" w:cs="Times New Roman"/>
          <w:b w:val="0"/>
          <w:bCs w:val="0"/>
          <w:sz w:val="30"/>
          <w:szCs w:val="30"/>
          <w:lang w:val="en-US" w:eastAsia="zh-CN"/>
        </w:rPr>
        <w:t>300万元</w:t>
      </w:r>
    </w:p>
    <w:p>
      <w:pPr>
        <w:pStyle w:val="3"/>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default" w:ascii="Times New Roman" w:hAnsi="Times New Roman" w:eastAsia="仿宋_GB2312"/>
          <w:b w:val="0"/>
          <w:bCs w:val="0"/>
          <w:sz w:val="32"/>
          <w:szCs w:val="32"/>
          <w:shd w:val="clear" w:color="auto" w:fill="FFFFFF"/>
          <w:lang w:val="en-US" w:eastAsia="zh-CN"/>
        </w:rPr>
      </w:pPr>
    </w:p>
    <w:p>
      <w:pPr>
        <w:pStyle w:val="3"/>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autoSpaceDN/>
        <w:bidi w:val="0"/>
        <w:adjustRightInd/>
        <w:snapToGrid/>
        <w:spacing w:after="0" w:line="560" w:lineRule="exact"/>
        <w:ind w:firstLine="420" w:firstLineChars="200"/>
        <w:textAlignment w:val="auto"/>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A00002BF" w:usb1="38CF7CFA" w:usb2="00082016" w:usb3="00000000" w:csb0="00040001" w:csb1="00000000"/>
  </w:font>
  <w:font w:name="仿宋">
    <w:altName w:val="方正仿宋_GBK"/>
    <w:panose1 w:val="02010609060101010101"/>
    <w:charset w:val="00"/>
    <w:family w:val="auto"/>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9F5E72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99"/>
    <w:pPr>
      <w:widowControl w:val="0"/>
      <w:spacing w:after="120"/>
      <w:jc w:val="both"/>
    </w:pPr>
    <w:rPr>
      <w:rFonts w:ascii="Calibri" w:hAnsi="Calibri" w:eastAsia="宋体" w:cs="Times New Roman"/>
      <w:kern w:val="2"/>
      <w:sz w:val="21"/>
      <w:szCs w:val="22"/>
      <w:lang w:val="en-US" w:eastAsia="zh-CN" w:bidi="ar-SA"/>
    </w:rPr>
  </w:style>
  <w:style w:type="paragraph" w:customStyle="1" w:styleId="6">
    <w:name w:val="正文文本1"/>
    <w:basedOn w:val="1"/>
    <w:qFormat/>
    <w:uiPriority w:val="0"/>
    <w:pPr>
      <w:widowControl w:val="0"/>
      <w:spacing w:after="120"/>
      <w:jc w:val="both"/>
    </w:pPr>
    <w:rPr>
      <w:rFonts w:ascii="Calibri" w:hAnsi="Calibri" w:eastAsia="宋体"/>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user</cp:lastModifiedBy>
  <dcterms:modified xsi:type="dcterms:W3CDTF">2024-12-11T09:21:11Z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