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CESI黑体-GB2312" w:hAnsi="CESI黑体-GB2312" w:eastAsia="CESI黑体-GB2312" w:cs="CESI黑体-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CESI黑体-GB2312" w:hAnsi="CESI黑体-GB2312" w:eastAsia="CESI黑体-GB2312" w:cs="CESI黑体-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威海市临床医学研究中心绩效评价结果</w:t>
      </w:r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tbl>
      <w:tblPr>
        <w:tblStyle w:val="4"/>
        <w:tblW w:w="859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2806"/>
        <w:gridCol w:w="1993"/>
        <w:gridCol w:w="1695"/>
        <w:gridCol w:w="13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临床中心名称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宋体" w:cs="Times New Roman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威海市神经系统疾病临床医学研究中心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威海市骨科临床医学研究中心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山东省文登整骨医院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威海市消化系统疾病临床医学研究中心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威海市心血管系统疾病临床医学研究中心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威海市出生缺陷与防控临床医学研究中心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C3FE"/>
    <w:rsid w:val="DFFFC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2023-10-30T14:50:00Z</dcterms:created>
  <dc:creator>user</dc:creator>
  <cp:lastModifiedBy>user</cp:lastModifiedBy>
  <dcterms:modified xsi:type="dcterms:W3CDTF">2023-10-30T14:51:21Z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