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bidi w:val="0"/>
        <w:snapToGrid/>
        <w:spacing w:line="560" w:lineRule="exact"/>
        <w:ind w:left="0" w:leftChars="0" w:right="0" w:rightChars="0"/>
        <w:jc w:val="center"/>
        <w:textAlignment w:val="auto"/>
        <w:outlineLvl w:val="9"/>
        <w:rPr>
          <w:rFonts w:hint="eastAsia" w:ascii="方正小标宋简体" w:eastAsia="方正小标宋简体"/>
          <w:sz w:val="44"/>
          <w:szCs w:val="44"/>
        </w:rPr>
      </w:pPr>
      <w:r>
        <w:rPr>
          <w:rFonts w:hint="eastAsia" w:ascii="方正小标宋简体" w:eastAsia="方正小标宋简体"/>
          <w:sz w:val="44"/>
          <w:szCs w:val="44"/>
        </w:rPr>
        <w:t>山东省技术创新中心建设标准</w:t>
      </w:r>
    </w:p>
    <w:p>
      <w:pPr>
        <w:keepNext w:val="0"/>
        <w:keepLines w:val="0"/>
        <w:pageBreakBefore w:val="0"/>
        <w:kinsoku/>
        <w:wordWrap/>
        <w:overflowPunct/>
        <w:topLinePunct w:val="0"/>
        <w:bidi w:val="0"/>
        <w:snapToGrid/>
        <w:spacing w:line="560" w:lineRule="exact"/>
        <w:ind w:left="0" w:leftChars="0" w:right="0" w:rightChars="0"/>
        <w:jc w:val="center"/>
        <w:textAlignment w:val="auto"/>
        <w:outlineLvl w:val="9"/>
        <w:rPr>
          <w:rFonts w:hint="eastAsia" w:ascii="楷体_GB2312" w:hAnsi="楷体_GB2312" w:eastAsia="楷体_GB2312" w:cs="楷体_GB2312"/>
          <w:sz w:val="36"/>
          <w:szCs w:val="36"/>
          <w:lang w:eastAsia="zh-CN"/>
        </w:rPr>
      </w:pPr>
      <w:r>
        <w:rPr>
          <w:rFonts w:hint="eastAsia" w:ascii="楷体_GB2312" w:hAnsi="楷体_GB2312" w:eastAsia="楷体_GB2312" w:cs="楷体_GB2312"/>
          <w:sz w:val="36"/>
          <w:szCs w:val="36"/>
          <w:lang w:eastAsia="zh-CN"/>
        </w:rPr>
        <w:t>（参考版）</w:t>
      </w:r>
    </w:p>
    <w:p>
      <w:pPr>
        <w:keepNext w:val="0"/>
        <w:keepLines w:val="0"/>
        <w:pageBreakBefore w:val="0"/>
        <w:kinsoku/>
        <w:wordWrap/>
        <w:overflowPunct/>
        <w:topLinePunct w:val="0"/>
        <w:bidi w:val="0"/>
        <w:snapToGrid/>
        <w:spacing w:line="560" w:lineRule="exact"/>
        <w:ind w:left="0" w:leftChars="0" w:right="0" w:rightChars="0"/>
        <w:jc w:val="both"/>
        <w:textAlignment w:val="auto"/>
        <w:outlineLvl w:val="9"/>
        <w:rPr>
          <w:rFonts w:ascii="仿宋_GB2312" w:eastAsia="仿宋_GB2312"/>
          <w:sz w:val="36"/>
          <w:szCs w:val="36"/>
        </w:rPr>
      </w:pPr>
    </w:p>
    <w:p>
      <w:pPr>
        <w:pStyle w:val="10"/>
        <w:keepNext w:val="0"/>
        <w:keepLines w:val="0"/>
        <w:pageBreakBefore w:val="0"/>
        <w:kinsoku/>
        <w:wordWrap/>
        <w:overflowPunct/>
        <w:topLinePunct w:val="0"/>
        <w:bidi w:val="0"/>
        <w:snapToGrid/>
        <w:spacing w:line="560" w:lineRule="exact"/>
        <w:ind w:left="0" w:leftChars="0" w:right="0" w:rightChars="0" w:firstLine="640" w:firstLineChars="200"/>
        <w:jc w:val="both"/>
        <w:textAlignment w:val="auto"/>
        <w:outlineLvl w:val="9"/>
        <w:rPr>
          <w:sz w:val="32"/>
          <w:szCs w:val="32"/>
        </w:rPr>
      </w:pPr>
      <w:r>
        <w:rPr>
          <w:rFonts w:hint="eastAsia"/>
          <w:sz w:val="32"/>
          <w:szCs w:val="32"/>
        </w:rPr>
        <w:t>为进一步加强和规范山东省技术创新中心建设，</w:t>
      </w:r>
      <w:r>
        <w:rPr>
          <w:rFonts w:hint="eastAsia"/>
          <w:sz w:val="32"/>
          <w:szCs w:val="32"/>
          <w:lang w:val="en-US" w:eastAsia="zh-CN"/>
        </w:rPr>
        <w:t>提高建设水平和创新能力</w:t>
      </w:r>
      <w:r>
        <w:rPr>
          <w:rFonts w:hint="eastAsia"/>
          <w:sz w:val="32"/>
          <w:szCs w:val="32"/>
        </w:rPr>
        <w:t>，</w:t>
      </w:r>
      <w:r>
        <w:rPr>
          <w:rFonts w:hint="eastAsia"/>
          <w:sz w:val="32"/>
          <w:szCs w:val="32"/>
          <w:lang w:val="en-US" w:eastAsia="zh-CN"/>
        </w:rPr>
        <w:t>打造高层次技术创新高地，</w:t>
      </w:r>
      <w:r>
        <w:rPr>
          <w:rFonts w:hint="eastAsia"/>
          <w:sz w:val="32"/>
          <w:szCs w:val="32"/>
        </w:rPr>
        <w:t>支撑引领</w:t>
      </w:r>
      <w:r>
        <w:rPr>
          <w:rFonts w:hint="eastAsia"/>
          <w:sz w:val="32"/>
          <w:szCs w:val="32"/>
          <w:lang w:val="en-US" w:eastAsia="zh-CN"/>
        </w:rPr>
        <w:t>产业</w:t>
      </w:r>
      <w:r>
        <w:rPr>
          <w:rFonts w:hint="eastAsia"/>
          <w:sz w:val="32"/>
          <w:szCs w:val="32"/>
        </w:rPr>
        <w:t>高质量发展，制定</w:t>
      </w:r>
      <w:r>
        <w:rPr>
          <w:rFonts w:hint="eastAsia"/>
          <w:sz w:val="32"/>
          <w:szCs w:val="32"/>
          <w:lang w:val="en-US" w:eastAsia="zh-CN"/>
        </w:rPr>
        <w:t>本建设</w:t>
      </w:r>
      <w:r>
        <w:rPr>
          <w:rFonts w:hint="eastAsia"/>
          <w:sz w:val="32"/>
          <w:szCs w:val="32"/>
        </w:rPr>
        <w:t>标准。</w:t>
      </w:r>
    </w:p>
    <w:p>
      <w:pPr>
        <w:keepNext w:val="0"/>
        <w:keepLines w:val="0"/>
        <w:pageBreakBefore w:val="0"/>
        <w:kinsoku/>
        <w:wordWrap/>
        <w:overflowPunct/>
        <w:topLinePunct w:val="0"/>
        <w:bidi w:val="0"/>
        <w:snapToGrid/>
        <w:spacing w:line="560" w:lineRule="exact"/>
        <w:ind w:left="0" w:leftChars="0" w:right="0" w:rightChars="0"/>
        <w:jc w:val="both"/>
        <w:textAlignment w:val="auto"/>
        <w:outlineLvl w:val="9"/>
        <w:rPr>
          <w:rFonts w:ascii="黑体" w:hAnsi="黑体" w:eastAsia="黑体"/>
          <w:sz w:val="32"/>
          <w:szCs w:val="32"/>
        </w:rPr>
      </w:pPr>
      <w:r>
        <w:rPr>
          <w:rFonts w:hint="eastAsia" w:ascii="仿宋_GB2312" w:eastAsia="仿宋_GB2312"/>
          <w:sz w:val="32"/>
          <w:szCs w:val="32"/>
        </w:rPr>
        <w:t xml:space="preserve">    </w:t>
      </w:r>
      <w:r>
        <w:rPr>
          <w:rFonts w:hint="eastAsia" w:ascii="黑体" w:hAnsi="黑体" w:eastAsia="黑体"/>
          <w:sz w:val="32"/>
          <w:szCs w:val="32"/>
        </w:rPr>
        <w:t>一、标准依据</w:t>
      </w:r>
    </w:p>
    <w:p>
      <w:pPr>
        <w:pStyle w:val="10"/>
        <w:keepNext w:val="0"/>
        <w:keepLines w:val="0"/>
        <w:pageBreakBefore w:val="0"/>
        <w:kinsoku/>
        <w:wordWrap/>
        <w:overflowPunct/>
        <w:topLinePunct w:val="0"/>
        <w:bidi w:val="0"/>
        <w:snapToGrid/>
        <w:spacing w:line="560" w:lineRule="exact"/>
        <w:ind w:left="0" w:leftChars="0" w:right="0" w:rightChars="0" w:firstLine="640" w:firstLineChars="200"/>
        <w:jc w:val="both"/>
        <w:textAlignment w:val="auto"/>
        <w:outlineLvl w:val="9"/>
        <w:rPr>
          <w:rFonts w:hint="eastAsia"/>
          <w:sz w:val="32"/>
          <w:szCs w:val="32"/>
        </w:rPr>
      </w:pPr>
      <w:r>
        <w:rPr>
          <w:rFonts w:hint="eastAsia"/>
          <w:sz w:val="32"/>
          <w:szCs w:val="32"/>
        </w:rPr>
        <w:t>《关于推进国家技术创新中心建设的总体方案（暂行）》（国科发区〔2020〕70号）《山东省技术创新中心管理办法》（鲁科字〔2017〕167号）</w:t>
      </w:r>
      <w:r>
        <w:rPr>
          <w:rFonts w:hint="eastAsia"/>
          <w:sz w:val="32"/>
          <w:szCs w:val="32"/>
          <w:lang w:val="en-US" w:eastAsia="zh-CN"/>
        </w:rPr>
        <w:t>和</w:t>
      </w:r>
      <w:r>
        <w:rPr>
          <w:rFonts w:hint="eastAsia"/>
          <w:sz w:val="32"/>
          <w:szCs w:val="32"/>
        </w:rPr>
        <w:t>《山东省技术创新中心建设方案》（鲁科字〔2019〕93号）等政策文件和有关国家技术创新中心建设方案。</w:t>
      </w:r>
    </w:p>
    <w:p>
      <w:pPr>
        <w:pStyle w:val="10"/>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黑体" w:hAnsi="黑体" w:eastAsia="黑体"/>
          <w:sz w:val="32"/>
          <w:szCs w:val="32"/>
        </w:rPr>
      </w:pPr>
      <w:r>
        <w:rPr>
          <w:rFonts w:hint="eastAsia" w:ascii="黑体" w:hAnsi="黑体" w:eastAsia="黑体"/>
          <w:sz w:val="32"/>
          <w:szCs w:val="32"/>
        </w:rPr>
        <w:t>二、功能定位</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省技术创新中心是我省技术创新体系的重要组成部分，是促进产学研协同创新，推动重大基础研究成果产业化，引领产业高质量发展的重要创新载体</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省技术创新中心定位于创新链中游，对上衔接实验室基础研究，对下衔接企业产业化，推动关键核心技术研发和科技成果转移转化，打通从科学到技术转化的通道。主要任务是围绕产业创新发展需求，组织开展产业重大关键共性技术和前沿技术研发，着力解决关键核心技术、重大装备及关键零部件受制于人的问题，产学研协同推动科技成果转移转化与产业化，为科技型中小企业孵化、培育和发展提供创新服务，为区域和产业发展提供持续的源头技术供给，为支撑产业向中高端迈进、实现高质量发展发挥支撑引领作用。</w:t>
      </w:r>
    </w:p>
    <w:p>
      <w:pPr>
        <w:keepNext w:val="0"/>
        <w:keepLines w:val="0"/>
        <w:pageBreakBefore w:val="0"/>
        <w:widowControl/>
        <w:kinsoku/>
        <w:wordWrap/>
        <w:overflowPunct/>
        <w:topLinePunct w:val="0"/>
        <w:bidi w:val="0"/>
        <w:snapToGrid/>
        <w:spacing w:line="560" w:lineRule="exact"/>
        <w:ind w:left="0" w:leftChars="0" w:right="0" w:rightChars="0" w:firstLine="640" w:firstLineChars="200"/>
        <w:jc w:val="both"/>
        <w:textAlignment w:val="auto"/>
        <w:outlineLvl w:val="9"/>
        <w:rPr>
          <w:rFonts w:hint="eastAsia" w:ascii="黑体" w:hAnsi="黑体" w:eastAsia="黑体"/>
          <w:sz w:val="32"/>
          <w:szCs w:val="32"/>
        </w:rPr>
      </w:pPr>
      <w:r>
        <w:rPr>
          <w:rFonts w:hint="eastAsia" w:ascii="黑体" w:hAnsi="黑体" w:eastAsia="黑体"/>
          <w:sz w:val="32"/>
          <w:szCs w:val="32"/>
        </w:rPr>
        <w:t>三、</w:t>
      </w:r>
      <w:r>
        <w:rPr>
          <w:rFonts w:hint="eastAsia" w:ascii="黑体" w:hAnsi="黑体" w:eastAsia="黑体"/>
          <w:sz w:val="32"/>
          <w:szCs w:val="32"/>
          <w:lang w:val="en-US" w:eastAsia="zh-CN"/>
        </w:rPr>
        <w:t>核心</w:t>
      </w:r>
      <w:r>
        <w:rPr>
          <w:rFonts w:hint="eastAsia" w:ascii="黑体" w:hAnsi="黑体" w:eastAsia="黑体"/>
          <w:sz w:val="32"/>
          <w:szCs w:val="32"/>
        </w:rPr>
        <w:t>任务</w:t>
      </w:r>
    </w:p>
    <w:p>
      <w:pPr>
        <w:pStyle w:val="10"/>
        <w:keepNext w:val="0"/>
        <w:keepLines w:val="0"/>
        <w:pageBreakBefore w:val="0"/>
        <w:kinsoku/>
        <w:wordWrap/>
        <w:overflowPunct/>
        <w:topLinePunct w:val="0"/>
        <w:bidi w:val="0"/>
        <w:snapToGrid/>
        <w:spacing w:line="560" w:lineRule="exact"/>
        <w:ind w:left="0" w:leftChars="0" w:right="0" w:rightChars="0" w:firstLine="640" w:firstLineChars="200"/>
        <w:jc w:val="both"/>
        <w:textAlignment w:val="auto"/>
        <w:outlineLvl w:val="9"/>
        <w:rPr>
          <w:rFonts w:hint="eastAsia"/>
          <w:sz w:val="32"/>
          <w:szCs w:val="32"/>
          <w:lang w:val="en-US" w:eastAsia="zh-CN"/>
        </w:rPr>
      </w:pPr>
      <w:r>
        <w:rPr>
          <w:rFonts w:hint="eastAsia"/>
          <w:sz w:val="32"/>
          <w:szCs w:val="32"/>
          <w:lang w:val="en-US" w:eastAsia="zh-CN"/>
        </w:rPr>
        <w:t>省技术创新中心以行业共性关键技术研发与应用为核心，负有攻克“卡脖子”技术的使命，服务产业发展战略需求，推动重大科技成果转化，加快突破共性关键技术，建设完善科研条件平台与研发体系建设和成果转化体系。</w:t>
      </w:r>
    </w:p>
    <w:p>
      <w:pPr>
        <w:keepNext w:val="0"/>
        <w:keepLines w:val="0"/>
        <w:pageBreakBefore w:val="0"/>
        <w:widowControl/>
        <w:kinsoku/>
        <w:wordWrap/>
        <w:overflowPunct/>
        <w:topLinePunct w:val="0"/>
        <w:bidi w:val="0"/>
        <w:snapToGrid/>
        <w:spacing w:line="560" w:lineRule="exact"/>
        <w:ind w:left="0" w:leftChars="0" w:right="0" w:rightChars="0" w:firstLine="640" w:firstLineChars="200"/>
        <w:jc w:val="both"/>
        <w:textAlignment w:val="auto"/>
        <w:outlineLvl w:val="9"/>
        <w:rPr>
          <w:rFonts w:hint="eastAsia" w:ascii="楷体" w:hAnsi="楷体" w:eastAsia="楷体" w:cs="宋体"/>
          <w:color w:val="000000"/>
          <w:kern w:val="0"/>
          <w:sz w:val="32"/>
          <w:szCs w:val="32"/>
        </w:rPr>
      </w:pPr>
      <w:r>
        <w:rPr>
          <w:rFonts w:hint="eastAsia" w:ascii="楷体" w:hAnsi="楷体" w:eastAsia="楷体" w:cs="宋体"/>
          <w:color w:val="000000"/>
          <w:kern w:val="0"/>
          <w:sz w:val="32"/>
          <w:szCs w:val="32"/>
        </w:rPr>
        <w:t>（一）</w:t>
      </w:r>
      <w:r>
        <w:rPr>
          <w:rFonts w:hint="eastAsia" w:ascii="楷体" w:hAnsi="楷体" w:eastAsia="楷体" w:cs="宋体"/>
          <w:color w:val="000000"/>
          <w:kern w:val="0"/>
          <w:sz w:val="32"/>
          <w:szCs w:val="32"/>
          <w:lang w:val="en-US" w:eastAsia="zh-CN"/>
        </w:rPr>
        <w:t>加快产业</w:t>
      </w:r>
      <w:r>
        <w:rPr>
          <w:rFonts w:hint="eastAsia" w:ascii="楷体" w:hAnsi="楷体" w:eastAsia="楷体" w:cs="宋体"/>
          <w:color w:val="000000"/>
          <w:kern w:val="0"/>
          <w:sz w:val="32"/>
          <w:szCs w:val="32"/>
        </w:rPr>
        <w:t>关键</w:t>
      </w:r>
      <w:r>
        <w:rPr>
          <w:rFonts w:hint="eastAsia" w:ascii="楷体" w:hAnsi="楷体" w:eastAsia="楷体" w:cs="宋体"/>
          <w:color w:val="000000"/>
          <w:kern w:val="0"/>
          <w:sz w:val="32"/>
          <w:szCs w:val="32"/>
          <w:lang w:val="en-US" w:eastAsia="zh-CN"/>
        </w:rPr>
        <w:t>共性</w:t>
      </w:r>
      <w:r>
        <w:rPr>
          <w:rFonts w:hint="eastAsia" w:ascii="楷体" w:hAnsi="楷体" w:eastAsia="楷体" w:cs="宋体"/>
          <w:color w:val="000000"/>
          <w:kern w:val="0"/>
          <w:sz w:val="32"/>
          <w:szCs w:val="32"/>
        </w:rPr>
        <w:t>技术</w:t>
      </w:r>
      <w:r>
        <w:rPr>
          <w:rFonts w:hint="eastAsia" w:ascii="楷体" w:hAnsi="楷体" w:eastAsia="楷体" w:cs="宋体"/>
          <w:color w:val="000000"/>
          <w:kern w:val="0"/>
          <w:sz w:val="32"/>
          <w:szCs w:val="32"/>
          <w:lang w:val="en-US" w:eastAsia="zh-CN"/>
        </w:rPr>
        <w:t>突破</w:t>
      </w:r>
    </w:p>
    <w:p>
      <w:pPr>
        <w:pStyle w:val="10"/>
        <w:keepNext w:val="0"/>
        <w:keepLines w:val="0"/>
        <w:pageBreakBefore w:val="0"/>
        <w:kinsoku/>
        <w:wordWrap/>
        <w:overflowPunct/>
        <w:topLinePunct w:val="0"/>
        <w:bidi w:val="0"/>
        <w:snapToGrid/>
        <w:spacing w:line="560" w:lineRule="exact"/>
        <w:ind w:left="0" w:leftChars="0" w:right="0" w:rightChars="0" w:firstLine="640" w:firstLineChars="200"/>
        <w:jc w:val="both"/>
        <w:textAlignment w:val="auto"/>
        <w:outlineLvl w:val="9"/>
        <w:rPr>
          <w:rFonts w:hint="eastAsia"/>
          <w:sz w:val="32"/>
          <w:szCs w:val="32"/>
          <w:lang w:val="en-US" w:eastAsia="zh-CN"/>
        </w:rPr>
      </w:pPr>
      <w:r>
        <w:rPr>
          <w:rFonts w:hint="eastAsia"/>
          <w:sz w:val="32"/>
          <w:szCs w:val="32"/>
          <w:lang w:val="en-US" w:eastAsia="zh-CN"/>
        </w:rPr>
        <w:t>指标内容：</w:t>
      </w:r>
    </w:p>
    <w:p>
      <w:pPr>
        <w:pStyle w:val="10"/>
        <w:keepNext w:val="0"/>
        <w:keepLines w:val="0"/>
        <w:pageBreakBefore w:val="0"/>
        <w:kinsoku/>
        <w:wordWrap/>
        <w:overflowPunct/>
        <w:topLinePunct w:val="0"/>
        <w:bidi w:val="0"/>
        <w:snapToGrid/>
        <w:spacing w:line="560" w:lineRule="exact"/>
        <w:ind w:left="0" w:leftChars="0" w:right="0" w:rightChars="0" w:firstLine="640" w:firstLineChars="200"/>
        <w:jc w:val="both"/>
        <w:textAlignment w:val="auto"/>
        <w:outlineLvl w:val="9"/>
        <w:rPr>
          <w:rFonts w:hint="eastAsia"/>
          <w:sz w:val="32"/>
          <w:szCs w:val="32"/>
          <w:lang w:val="en-US" w:eastAsia="zh-CN"/>
        </w:rPr>
      </w:pPr>
      <w:r>
        <w:rPr>
          <w:rFonts w:hint="eastAsia"/>
          <w:sz w:val="32"/>
          <w:szCs w:val="32"/>
          <w:lang w:val="en-US" w:eastAsia="zh-CN"/>
        </w:rPr>
        <w:t>1.聚焦产业需求，开展共性关键技术研究、技术应用开发研究及前沿技术研究；</w:t>
      </w:r>
    </w:p>
    <w:p>
      <w:pPr>
        <w:pStyle w:val="10"/>
        <w:keepNext w:val="0"/>
        <w:keepLines w:val="0"/>
        <w:pageBreakBefore w:val="0"/>
        <w:kinsoku/>
        <w:wordWrap/>
        <w:overflowPunct/>
        <w:topLinePunct w:val="0"/>
        <w:bidi w:val="0"/>
        <w:snapToGrid/>
        <w:spacing w:line="560" w:lineRule="exact"/>
        <w:ind w:left="0" w:leftChars="0" w:right="0" w:rightChars="0" w:firstLine="640" w:firstLineChars="200"/>
        <w:jc w:val="both"/>
        <w:textAlignment w:val="auto"/>
        <w:outlineLvl w:val="9"/>
        <w:rPr>
          <w:rFonts w:hint="eastAsia"/>
          <w:sz w:val="32"/>
          <w:szCs w:val="32"/>
          <w:lang w:val="en-US" w:eastAsia="zh-CN"/>
        </w:rPr>
      </w:pPr>
      <w:r>
        <w:rPr>
          <w:rFonts w:hint="eastAsia"/>
          <w:sz w:val="32"/>
          <w:szCs w:val="32"/>
          <w:lang w:val="en-US" w:eastAsia="zh-CN"/>
        </w:rPr>
        <w:t>2.突破制约行业发展的技术瓶颈，掌握引领产业未来发展的核心技术，提升产业技术水平。</w:t>
      </w:r>
    </w:p>
    <w:p>
      <w:pPr>
        <w:pStyle w:val="10"/>
        <w:keepNext w:val="0"/>
        <w:keepLines w:val="0"/>
        <w:pageBreakBefore w:val="0"/>
        <w:kinsoku/>
        <w:wordWrap/>
        <w:overflowPunct/>
        <w:topLinePunct w:val="0"/>
        <w:bidi w:val="0"/>
        <w:snapToGrid/>
        <w:spacing w:line="560" w:lineRule="exact"/>
        <w:ind w:left="0" w:leftChars="0" w:right="0" w:rightChars="0" w:firstLine="640" w:firstLineChars="200"/>
        <w:jc w:val="both"/>
        <w:textAlignment w:val="auto"/>
        <w:outlineLvl w:val="9"/>
        <w:rPr>
          <w:rFonts w:hint="eastAsia"/>
          <w:sz w:val="32"/>
          <w:szCs w:val="32"/>
          <w:lang w:val="en-US" w:eastAsia="zh-CN"/>
        </w:rPr>
      </w:pPr>
      <w:r>
        <w:rPr>
          <w:rFonts w:hint="eastAsia"/>
          <w:sz w:val="32"/>
          <w:szCs w:val="32"/>
          <w:lang w:val="en-US" w:eastAsia="zh-CN"/>
        </w:rPr>
        <w:t>指标要求：筹建期内承担省级以上重大科研任务5项以上，解决2-3个重大技术难题或“卡脖子”技术难题，形成5项以上重大科研成果。</w:t>
      </w:r>
    </w:p>
    <w:p>
      <w:pPr>
        <w:keepNext w:val="0"/>
        <w:keepLines w:val="0"/>
        <w:pageBreakBefore w:val="0"/>
        <w:widowControl/>
        <w:kinsoku/>
        <w:wordWrap/>
        <w:overflowPunct/>
        <w:topLinePunct w:val="0"/>
        <w:bidi w:val="0"/>
        <w:snapToGrid/>
        <w:spacing w:line="560" w:lineRule="exact"/>
        <w:ind w:left="0" w:leftChars="0" w:right="0" w:rightChars="0" w:firstLine="640" w:firstLineChars="200"/>
        <w:jc w:val="both"/>
        <w:textAlignment w:val="auto"/>
        <w:outlineLvl w:val="9"/>
        <w:rPr>
          <w:rFonts w:hint="eastAsia" w:ascii="楷体" w:hAnsi="楷体" w:eastAsia="楷体" w:cs="宋体"/>
          <w:color w:val="000000"/>
          <w:kern w:val="0"/>
          <w:sz w:val="32"/>
          <w:szCs w:val="32"/>
        </w:rPr>
      </w:pPr>
      <w:r>
        <w:rPr>
          <w:rFonts w:hint="eastAsia" w:ascii="楷体" w:hAnsi="楷体" w:eastAsia="楷体" w:cs="宋体"/>
          <w:color w:val="000000"/>
          <w:kern w:val="0"/>
          <w:sz w:val="32"/>
          <w:szCs w:val="32"/>
        </w:rPr>
        <w:t>（二）建设</w:t>
      </w:r>
      <w:r>
        <w:rPr>
          <w:rFonts w:hint="eastAsia" w:ascii="楷体" w:hAnsi="楷体" w:eastAsia="楷体" w:cs="宋体"/>
          <w:color w:val="000000"/>
          <w:kern w:val="0"/>
          <w:sz w:val="32"/>
          <w:szCs w:val="32"/>
          <w:lang w:val="en-US" w:eastAsia="zh-CN"/>
        </w:rPr>
        <w:t>科研</w:t>
      </w:r>
      <w:r>
        <w:rPr>
          <w:rFonts w:hint="eastAsia" w:ascii="楷体" w:hAnsi="楷体" w:eastAsia="楷体" w:cs="宋体"/>
          <w:color w:val="000000"/>
          <w:kern w:val="0"/>
          <w:sz w:val="32"/>
          <w:szCs w:val="32"/>
        </w:rPr>
        <w:t>成果转化体系</w:t>
      </w:r>
    </w:p>
    <w:p>
      <w:pPr>
        <w:pStyle w:val="10"/>
        <w:keepNext w:val="0"/>
        <w:keepLines w:val="0"/>
        <w:pageBreakBefore w:val="0"/>
        <w:kinsoku/>
        <w:wordWrap/>
        <w:overflowPunct/>
        <w:topLinePunct w:val="0"/>
        <w:bidi w:val="0"/>
        <w:snapToGrid/>
        <w:spacing w:line="560" w:lineRule="exact"/>
        <w:ind w:left="0" w:leftChars="0" w:right="0" w:rightChars="0" w:firstLine="640" w:firstLineChars="200"/>
        <w:jc w:val="both"/>
        <w:textAlignment w:val="auto"/>
        <w:outlineLvl w:val="9"/>
        <w:rPr>
          <w:rFonts w:hint="eastAsia"/>
          <w:sz w:val="32"/>
          <w:szCs w:val="32"/>
          <w:lang w:val="en-US" w:eastAsia="zh-CN"/>
        </w:rPr>
      </w:pPr>
      <w:r>
        <w:rPr>
          <w:rFonts w:hint="eastAsia"/>
          <w:sz w:val="32"/>
          <w:szCs w:val="32"/>
          <w:lang w:val="en-US" w:eastAsia="zh-CN"/>
        </w:rPr>
        <w:t>指标内容：</w:t>
      </w:r>
    </w:p>
    <w:p>
      <w:pPr>
        <w:pStyle w:val="10"/>
        <w:keepNext w:val="0"/>
        <w:keepLines w:val="0"/>
        <w:pageBreakBefore w:val="0"/>
        <w:kinsoku/>
        <w:wordWrap/>
        <w:overflowPunct/>
        <w:topLinePunct w:val="0"/>
        <w:bidi w:val="0"/>
        <w:snapToGrid/>
        <w:spacing w:line="560" w:lineRule="exact"/>
        <w:ind w:left="0" w:leftChars="0" w:right="0" w:rightChars="0" w:firstLine="640" w:firstLineChars="200"/>
        <w:jc w:val="both"/>
        <w:textAlignment w:val="auto"/>
        <w:outlineLvl w:val="9"/>
        <w:rPr>
          <w:rFonts w:hint="eastAsia"/>
          <w:sz w:val="32"/>
          <w:szCs w:val="32"/>
          <w:lang w:val="en-US" w:eastAsia="zh-CN"/>
        </w:rPr>
      </w:pPr>
      <w:r>
        <w:rPr>
          <w:rFonts w:hint="eastAsia"/>
          <w:sz w:val="32"/>
          <w:szCs w:val="32"/>
          <w:lang w:val="en-US" w:eastAsia="zh-CN"/>
        </w:rPr>
        <w:t>1.建立完善高效的科技服务和成果转化机制，整合上下游科技资源，畅通成果转化通道；</w:t>
      </w:r>
    </w:p>
    <w:p>
      <w:pPr>
        <w:pStyle w:val="10"/>
        <w:keepNext w:val="0"/>
        <w:keepLines w:val="0"/>
        <w:pageBreakBefore w:val="0"/>
        <w:numPr>
          <w:ilvl w:val="0"/>
          <w:numId w:val="1"/>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sz w:val="32"/>
          <w:szCs w:val="32"/>
          <w:lang w:val="en-US" w:eastAsia="zh-CN"/>
        </w:rPr>
      </w:pPr>
      <w:r>
        <w:rPr>
          <w:rFonts w:hint="eastAsia"/>
          <w:sz w:val="32"/>
          <w:szCs w:val="32"/>
          <w:lang w:val="en-US" w:eastAsia="zh-CN"/>
        </w:rPr>
        <w:t>开展成果转化、产业孵化，推动重大成果的工程化、产业化落地，打破科研成果产业化瓶颈。</w:t>
      </w:r>
    </w:p>
    <w:p>
      <w:pPr>
        <w:pStyle w:val="10"/>
        <w:keepNext w:val="0"/>
        <w:keepLines w:val="0"/>
        <w:pageBreakBefore w:val="0"/>
        <w:numPr>
          <w:ilvl w:val="0"/>
          <w:numId w:val="0"/>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sz w:val="32"/>
          <w:szCs w:val="32"/>
          <w:lang w:val="en-US" w:eastAsia="zh-CN"/>
        </w:rPr>
      </w:pPr>
      <w:r>
        <w:rPr>
          <w:rFonts w:hint="eastAsia"/>
          <w:sz w:val="32"/>
          <w:szCs w:val="32"/>
          <w:lang w:val="en-US" w:eastAsia="zh-CN"/>
        </w:rPr>
        <w:t>指标要求：筹建期内实现行业内高端技术和人才团队集聚，累计引进高端人才 30 名以上，转移转化重大科研成果5项以上。</w:t>
      </w:r>
    </w:p>
    <w:p>
      <w:pPr>
        <w:keepNext w:val="0"/>
        <w:keepLines w:val="0"/>
        <w:pageBreakBefore w:val="0"/>
        <w:widowControl/>
        <w:kinsoku/>
        <w:wordWrap/>
        <w:overflowPunct/>
        <w:topLinePunct w:val="0"/>
        <w:bidi w:val="0"/>
        <w:snapToGrid/>
        <w:spacing w:line="560" w:lineRule="exact"/>
        <w:ind w:left="0" w:leftChars="0" w:right="0" w:rightChars="0" w:firstLine="640" w:firstLineChars="200"/>
        <w:jc w:val="both"/>
        <w:textAlignment w:val="auto"/>
        <w:outlineLvl w:val="9"/>
        <w:rPr>
          <w:rFonts w:hint="eastAsia" w:ascii="楷体" w:hAnsi="楷体" w:eastAsia="楷体" w:cs="宋体"/>
          <w:color w:val="000000"/>
          <w:kern w:val="0"/>
          <w:sz w:val="32"/>
          <w:szCs w:val="32"/>
        </w:rPr>
      </w:pPr>
      <w:r>
        <w:rPr>
          <w:rFonts w:hint="eastAsia" w:ascii="楷体" w:hAnsi="楷体" w:eastAsia="楷体" w:cs="宋体"/>
          <w:color w:val="000000"/>
          <w:kern w:val="0"/>
          <w:sz w:val="32"/>
          <w:szCs w:val="32"/>
        </w:rPr>
        <w:t>（三）建设科研条件平台与研发体系</w:t>
      </w:r>
    </w:p>
    <w:p>
      <w:pPr>
        <w:keepNext w:val="0"/>
        <w:keepLines w:val="0"/>
        <w:pageBreakBefore w:val="0"/>
        <w:widowControl/>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color w:val="000000"/>
          <w:kern w:val="0"/>
          <w:sz w:val="32"/>
          <w:szCs w:val="32"/>
          <w:lang w:val="en-US" w:eastAsia="zh-CN" w:bidi="ar-SA"/>
        </w:rPr>
      </w:pPr>
      <w:r>
        <w:rPr>
          <w:rFonts w:hint="eastAsia" w:ascii="仿宋_GB2312" w:eastAsia="仿宋_GB2312" w:cs="仿宋_GB2312"/>
          <w:color w:val="000000"/>
          <w:kern w:val="0"/>
          <w:sz w:val="32"/>
          <w:szCs w:val="32"/>
          <w:lang w:val="en-US" w:eastAsia="zh-CN" w:bidi="ar-SA"/>
        </w:rPr>
        <w:t>指标内容：</w:t>
      </w:r>
    </w:p>
    <w:p>
      <w:pPr>
        <w:keepNext w:val="0"/>
        <w:keepLines w:val="0"/>
        <w:pageBreakBefore w:val="0"/>
        <w:widowControl/>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color w:val="000000"/>
          <w:kern w:val="0"/>
          <w:sz w:val="32"/>
          <w:szCs w:val="32"/>
          <w:lang w:val="en-US" w:eastAsia="zh-CN" w:bidi="ar-SA"/>
        </w:rPr>
        <w:t>1.</w:t>
      </w:r>
      <w:r>
        <w:rPr>
          <w:rFonts w:hint="eastAsia" w:ascii="仿宋_GB2312" w:eastAsia="仿宋_GB2312" w:cs="仿宋_GB2312" w:hAnsiTheme="minorHAnsi"/>
          <w:color w:val="000000"/>
          <w:kern w:val="0"/>
          <w:sz w:val="32"/>
          <w:szCs w:val="32"/>
          <w:lang w:val="en-US" w:eastAsia="zh-CN" w:bidi="ar-SA"/>
        </w:rPr>
        <w:t>整合</w:t>
      </w:r>
      <w:r>
        <w:rPr>
          <w:rFonts w:hint="eastAsia" w:ascii="仿宋_GB2312" w:eastAsia="仿宋_GB2312" w:cs="仿宋_GB2312"/>
          <w:color w:val="000000"/>
          <w:kern w:val="0"/>
          <w:sz w:val="32"/>
          <w:szCs w:val="32"/>
          <w:lang w:val="en-US" w:eastAsia="zh-CN" w:bidi="ar-SA"/>
        </w:rPr>
        <w:t>领域内</w:t>
      </w:r>
      <w:r>
        <w:rPr>
          <w:rFonts w:hint="eastAsia" w:ascii="仿宋_GB2312" w:eastAsia="仿宋_GB2312" w:cs="仿宋_GB2312" w:hAnsiTheme="minorHAnsi"/>
          <w:color w:val="000000"/>
          <w:kern w:val="0"/>
          <w:sz w:val="32"/>
          <w:szCs w:val="32"/>
          <w:lang w:val="en-US" w:eastAsia="zh-CN" w:bidi="ar-SA"/>
        </w:rPr>
        <w:t>基础研究、技术研发等创新平台资源，建设集科研和服务于一体的行业公共技术创新平台体系；</w:t>
      </w:r>
    </w:p>
    <w:p>
      <w:pPr>
        <w:keepNext w:val="0"/>
        <w:keepLines w:val="0"/>
        <w:pageBreakBefore w:val="0"/>
        <w:widowControl/>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2.建设高水平公共科技创新平台和科技服务平台，支撑行业共性关键技术、技术应用开发及前沿技术突破和成果转移转化；</w:t>
      </w:r>
    </w:p>
    <w:p>
      <w:pPr>
        <w:keepNext w:val="0"/>
        <w:keepLines w:val="0"/>
        <w:pageBreakBefore w:val="0"/>
        <w:widowControl/>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sz w:val="32"/>
          <w:szCs w:val="32"/>
          <w:lang w:val="en-US" w:eastAsia="zh-CN"/>
        </w:rPr>
        <w:t>3.</w:t>
      </w:r>
      <w:r>
        <w:rPr>
          <w:rFonts w:hint="eastAsia" w:ascii="仿宋_GB2312" w:eastAsia="仿宋_GB2312" w:cs="仿宋_GB2312" w:hAnsiTheme="minorHAnsi"/>
          <w:color w:val="000000"/>
          <w:kern w:val="0"/>
          <w:sz w:val="32"/>
          <w:szCs w:val="32"/>
          <w:lang w:val="en-US" w:eastAsia="zh-CN" w:bidi="ar-SA"/>
        </w:rPr>
        <w:t>面向行业开放共享，提供</w:t>
      </w:r>
      <w:r>
        <w:rPr>
          <w:rFonts w:hint="eastAsia" w:ascii="仿宋_GB2312" w:eastAsia="仿宋_GB2312" w:cs="仿宋_GB2312"/>
          <w:color w:val="000000"/>
          <w:kern w:val="0"/>
          <w:sz w:val="32"/>
          <w:szCs w:val="32"/>
          <w:lang w:val="en-US" w:eastAsia="zh-CN" w:bidi="ar-SA"/>
        </w:rPr>
        <w:t>专业化</w:t>
      </w:r>
      <w:r>
        <w:rPr>
          <w:rFonts w:hint="eastAsia" w:ascii="仿宋_GB2312" w:eastAsia="仿宋_GB2312" w:cs="仿宋_GB2312" w:hAnsiTheme="minorHAnsi"/>
          <w:color w:val="000000"/>
          <w:kern w:val="0"/>
          <w:sz w:val="32"/>
          <w:szCs w:val="32"/>
          <w:lang w:val="en-US" w:eastAsia="zh-CN" w:bidi="ar-SA"/>
        </w:rPr>
        <w:t>研发服务，激发行业创新创业活力。</w:t>
      </w:r>
    </w:p>
    <w:p>
      <w:pPr>
        <w:keepNext w:val="0"/>
        <w:keepLines w:val="0"/>
        <w:pageBreakBefore w:val="0"/>
        <w:widowControl/>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color w:val="000000"/>
          <w:kern w:val="0"/>
          <w:sz w:val="32"/>
          <w:szCs w:val="32"/>
          <w:lang w:val="en-US" w:eastAsia="zh-CN" w:bidi="ar-SA"/>
        </w:rPr>
        <w:t>指标要求：</w:t>
      </w:r>
      <w:r>
        <w:rPr>
          <w:rFonts w:hint="eastAsia" w:ascii="仿宋_GB2312" w:eastAsia="仿宋_GB2312" w:cs="仿宋_GB2312" w:hAnsiTheme="minorHAnsi"/>
          <w:color w:val="000000"/>
          <w:kern w:val="0"/>
          <w:sz w:val="32"/>
          <w:szCs w:val="32"/>
          <w:lang w:val="en-US" w:eastAsia="zh-CN" w:bidi="ar-SA"/>
        </w:rPr>
        <w:t>筹建期内整合省级以上</w:t>
      </w:r>
      <w:r>
        <w:rPr>
          <w:rFonts w:hint="eastAsia" w:ascii="仿宋_GB2312" w:eastAsia="仿宋_GB2312" w:cs="仿宋_GB2312"/>
          <w:color w:val="000000"/>
          <w:kern w:val="0"/>
          <w:sz w:val="32"/>
          <w:szCs w:val="32"/>
          <w:lang w:val="en-US" w:eastAsia="zh-CN" w:bidi="ar-SA"/>
        </w:rPr>
        <w:t>应用</w:t>
      </w:r>
      <w:r>
        <w:rPr>
          <w:rFonts w:hint="eastAsia" w:ascii="仿宋_GB2312" w:eastAsia="仿宋_GB2312" w:cs="仿宋_GB2312" w:hAnsiTheme="minorHAnsi"/>
          <w:color w:val="000000"/>
          <w:kern w:val="0"/>
          <w:sz w:val="32"/>
          <w:szCs w:val="32"/>
          <w:lang w:val="en-US" w:eastAsia="zh-CN" w:bidi="ar-SA"/>
        </w:rPr>
        <w:t>基础研究、技术研发等高层次平台3个以上，建设各类创新平台、科技服务平台5个以上，形成公共技术创新平台体系，累计为行业提供研发服务 100 次以上，服务高新技术企业不少于10个。</w:t>
      </w:r>
    </w:p>
    <w:p>
      <w:pPr>
        <w:keepNext w:val="0"/>
        <w:keepLines w:val="0"/>
        <w:pageBreakBefore w:val="0"/>
        <w:widowControl/>
        <w:kinsoku/>
        <w:wordWrap/>
        <w:overflowPunct/>
        <w:topLinePunct w:val="0"/>
        <w:bidi w:val="0"/>
        <w:snapToGrid/>
        <w:spacing w:line="560" w:lineRule="exact"/>
        <w:ind w:left="0" w:leftChars="0" w:right="0" w:rightChars="0" w:firstLine="640" w:firstLineChars="200"/>
        <w:jc w:val="both"/>
        <w:textAlignment w:val="auto"/>
        <w:outlineLvl w:val="9"/>
        <w:rPr>
          <w:rFonts w:hint="eastAsia" w:ascii="黑体" w:hAnsi="黑体" w:eastAsia="黑体"/>
          <w:sz w:val="32"/>
          <w:szCs w:val="32"/>
        </w:rPr>
      </w:pPr>
      <w:r>
        <w:rPr>
          <w:rFonts w:hint="eastAsia" w:ascii="黑体" w:hAnsi="黑体" w:eastAsia="黑体"/>
          <w:sz w:val="32"/>
          <w:szCs w:val="32"/>
        </w:rPr>
        <w:t>四、建设方式</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（一）统筹布局，择优建设。</w:t>
      </w:r>
      <w:r>
        <w:rPr>
          <w:rFonts w:hint="eastAsia" w:ascii="仿宋_GB2312" w:eastAsia="仿宋_GB2312" w:cs="仿宋_GB2312" w:hAnsiTheme="minorHAnsi"/>
          <w:color w:val="000000"/>
          <w:kern w:val="0"/>
          <w:sz w:val="32"/>
          <w:szCs w:val="32"/>
          <w:lang w:val="en-US" w:eastAsia="zh-CN" w:bidi="ar-SA"/>
        </w:rPr>
        <w:t>立足我省科技发展现状，服务新旧动能转换，瞄准十强产业，通过竞争方式，选择一批基础条件好、创新能力强的企业、高校、科研院所建设技术创新中心。</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（二）针对急需，定向建设。</w:t>
      </w:r>
      <w:r>
        <w:rPr>
          <w:rFonts w:hint="eastAsia" w:ascii="仿宋_GB2312" w:eastAsia="仿宋_GB2312" w:cs="仿宋_GB2312" w:hAnsiTheme="minorHAnsi"/>
          <w:color w:val="000000"/>
          <w:kern w:val="0"/>
          <w:sz w:val="32"/>
          <w:szCs w:val="32"/>
          <w:lang w:val="en-US" w:eastAsia="zh-CN" w:bidi="ar-SA"/>
        </w:rPr>
        <w:t>为应对重大“卡脖子”难题和突发棘手技术难题，按照“一事一议”原则，组织创新地位突出、创新资源集聚度高、基础条件好的龙头企业、高校和科研院所、新型研发机构定向组建技术创新中心。</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（三）培育储备，提档升级。</w:t>
      </w:r>
      <w:r>
        <w:rPr>
          <w:rFonts w:hint="eastAsia" w:ascii="仿宋_GB2312" w:eastAsia="仿宋_GB2312" w:cs="仿宋_GB2312" w:hAnsiTheme="minorHAnsi"/>
          <w:color w:val="000000"/>
          <w:kern w:val="0"/>
          <w:sz w:val="32"/>
          <w:szCs w:val="32"/>
          <w:lang w:val="en-US" w:eastAsia="zh-CN" w:bidi="ar-SA"/>
        </w:rPr>
        <w:t>各市级技术创新中心在提升区域创新能力、促进区域经济发展中发挥重要作用的，经市科技局推荐，对符合我省规划布局和建设要求的，</w:t>
      </w:r>
      <w:r>
        <w:rPr>
          <w:rFonts w:hint="eastAsia" w:ascii="仿宋_GB2312" w:eastAsia="仿宋_GB2312"/>
          <w:sz w:val="32"/>
          <w:szCs w:val="32"/>
        </w:rPr>
        <w:t>可纳入省级技术创新中心储备库，并参加省级技术创新中心</w:t>
      </w:r>
      <w:r>
        <w:rPr>
          <w:rFonts w:hint="eastAsia" w:ascii="仿宋_GB2312" w:eastAsia="仿宋_GB2312"/>
          <w:sz w:val="32"/>
          <w:szCs w:val="32"/>
          <w:lang w:val="en-US" w:eastAsia="zh-CN"/>
        </w:rPr>
        <w:t>绩效评价</w:t>
      </w:r>
      <w:r>
        <w:rPr>
          <w:rFonts w:hint="eastAsia" w:ascii="仿宋_GB2312" w:eastAsia="仿宋_GB2312"/>
          <w:sz w:val="32"/>
          <w:szCs w:val="32"/>
        </w:rPr>
        <w:t>，</w:t>
      </w:r>
      <w:r>
        <w:rPr>
          <w:rFonts w:hint="eastAsia" w:ascii="仿宋_GB2312" w:eastAsia="仿宋_GB2312"/>
          <w:sz w:val="32"/>
          <w:szCs w:val="32"/>
          <w:lang w:val="en-US" w:eastAsia="zh-CN"/>
        </w:rPr>
        <w:t>达到优秀等级的升级为</w:t>
      </w:r>
      <w:r>
        <w:rPr>
          <w:rFonts w:hint="eastAsia" w:ascii="仿宋_GB2312" w:eastAsia="仿宋_GB2312"/>
          <w:sz w:val="32"/>
          <w:szCs w:val="32"/>
        </w:rPr>
        <w:t>省级技术创新中心</w:t>
      </w:r>
      <w:r>
        <w:rPr>
          <w:rFonts w:hint="eastAsia" w:ascii="仿宋_GB2312" w:eastAsia="仿宋_GB2312" w:cs="仿宋_GB2312" w:hAnsiTheme="minorHAnsi"/>
          <w:color w:val="000000"/>
          <w:kern w:val="0"/>
          <w:sz w:val="32"/>
          <w:szCs w:val="32"/>
          <w:lang w:val="en-US" w:eastAsia="zh-CN" w:bidi="ar-SA"/>
        </w:rPr>
        <w:t>。</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（四）突出特色，择优转建。</w:t>
      </w:r>
      <w:r>
        <w:rPr>
          <w:rFonts w:hint="eastAsia" w:ascii="仿宋_GB2312" w:eastAsia="仿宋_GB2312" w:cs="仿宋_GB2312" w:hAnsiTheme="minorHAnsi"/>
          <w:color w:val="000000"/>
          <w:kern w:val="0"/>
          <w:sz w:val="32"/>
          <w:szCs w:val="32"/>
          <w:lang w:val="en-US" w:eastAsia="zh-CN" w:bidi="ar-SA"/>
        </w:rPr>
        <w:t>聚焦我省优势特色产业领域及方向，依托现有国家工程技术研究中心，对符合条件的，率先择优转建。</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黑体" w:hAnsi="黑体" w:eastAsia="黑体"/>
          <w:sz w:val="32"/>
          <w:szCs w:val="32"/>
        </w:rPr>
      </w:pPr>
      <w:r>
        <w:rPr>
          <w:rFonts w:hint="eastAsia" w:ascii="黑体" w:hAnsi="黑体" w:eastAsia="黑体"/>
          <w:sz w:val="32"/>
          <w:szCs w:val="32"/>
        </w:rPr>
        <w:t>五、建设</w:t>
      </w:r>
      <w:r>
        <w:rPr>
          <w:rFonts w:hint="eastAsia" w:ascii="黑体" w:hAnsi="黑体" w:eastAsia="黑体"/>
          <w:sz w:val="32"/>
          <w:szCs w:val="32"/>
          <w:lang w:val="en-US" w:eastAsia="zh-CN"/>
        </w:rPr>
        <w:t>基本</w:t>
      </w:r>
      <w:r>
        <w:rPr>
          <w:rFonts w:hint="eastAsia" w:ascii="黑体" w:hAnsi="黑体" w:eastAsia="黑体"/>
          <w:sz w:val="32"/>
          <w:szCs w:val="32"/>
        </w:rPr>
        <w:t>条件</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楷体" w:hAnsi="楷体" w:eastAsia="楷体" w:cs="楷体"/>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（一）聚焦产业</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1.</w:t>
      </w:r>
      <w:r>
        <w:rPr>
          <w:rFonts w:hint="eastAsia" w:ascii="仿宋_GB2312" w:eastAsia="仿宋_GB2312" w:cs="仿宋_GB2312" w:hAnsiTheme="minorHAnsi"/>
          <w:color w:val="000000"/>
          <w:kern w:val="0"/>
          <w:sz w:val="32"/>
          <w:szCs w:val="32"/>
          <w:lang w:val="en-US" w:eastAsia="zh-CN" w:bidi="ar-SA"/>
        </w:rPr>
        <w:t>面向我省重大战略、影响产业发展的重点领域技术创新需求</w:t>
      </w:r>
      <w:r>
        <w:rPr>
          <w:rFonts w:hint="eastAsia" w:ascii="仿宋_GB2312" w:eastAsia="仿宋_GB2312" w:cs="仿宋_GB2312"/>
          <w:color w:val="000000"/>
          <w:kern w:val="0"/>
          <w:sz w:val="32"/>
          <w:szCs w:val="32"/>
          <w:lang w:val="en-US" w:eastAsia="zh-CN" w:bidi="ar-SA"/>
        </w:rPr>
        <w:t>；</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color w:val="000000"/>
          <w:kern w:val="0"/>
          <w:sz w:val="32"/>
          <w:szCs w:val="32"/>
          <w:lang w:val="en-US" w:eastAsia="zh-CN" w:bidi="ar-SA"/>
        </w:rPr>
        <w:t>2.重点</w:t>
      </w:r>
      <w:r>
        <w:rPr>
          <w:rFonts w:hint="eastAsia" w:ascii="仿宋_GB2312" w:eastAsia="仿宋_GB2312" w:cs="仿宋_GB2312" w:hAnsiTheme="minorHAnsi"/>
          <w:color w:val="000000"/>
          <w:kern w:val="0"/>
          <w:sz w:val="32"/>
          <w:szCs w:val="32"/>
          <w:lang w:val="en-US" w:eastAsia="zh-CN" w:bidi="ar-SA"/>
        </w:rPr>
        <w:t>聚焦我省新兴、急需、特色产业领域</w:t>
      </w:r>
      <w:r>
        <w:rPr>
          <w:rFonts w:hint="eastAsia" w:ascii="仿宋_GB2312" w:eastAsia="仿宋_GB2312" w:cs="仿宋_GB2312"/>
          <w:color w:val="000000"/>
          <w:kern w:val="0"/>
          <w:sz w:val="32"/>
          <w:szCs w:val="32"/>
          <w:lang w:val="en-US" w:eastAsia="zh-CN" w:bidi="ar-SA"/>
        </w:rPr>
        <w:t>；</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color w:val="000000"/>
          <w:kern w:val="0"/>
          <w:sz w:val="32"/>
          <w:szCs w:val="32"/>
          <w:lang w:val="en-US" w:eastAsia="zh-CN" w:bidi="ar-SA"/>
        </w:rPr>
        <w:t>3.</w:t>
      </w:r>
      <w:r>
        <w:rPr>
          <w:rFonts w:hint="eastAsia" w:ascii="仿宋_GB2312" w:eastAsia="仿宋_GB2312" w:cs="仿宋_GB2312" w:hAnsiTheme="minorHAnsi"/>
          <w:color w:val="000000"/>
          <w:kern w:val="0"/>
          <w:sz w:val="32"/>
          <w:szCs w:val="32"/>
          <w:lang w:val="en-US" w:eastAsia="zh-CN" w:bidi="ar-SA"/>
        </w:rPr>
        <w:t>能够形成技术创新持续供给能力。</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楷体" w:hAnsi="楷体" w:eastAsia="楷体" w:cs="楷体"/>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（二）行业优势</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楷体" w:hAnsi="楷体" w:eastAsia="楷体" w:cs="楷体"/>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技术创新中心可以依托企业、高校、科研院所建设。</w:t>
      </w:r>
    </w:p>
    <w:p>
      <w:pPr>
        <w:keepNext w:val="0"/>
        <w:keepLines w:val="0"/>
        <w:pageBreakBefore w:val="0"/>
        <w:numPr>
          <w:ilvl w:val="0"/>
          <w:numId w:val="2"/>
        </w:numPr>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牵头单位为企业的，须是行业的龙头企业，近三年销售收入</w:t>
      </w:r>
      <w:r>
        <w:rPr>
          <w:rFonts w:hint="eastAsia" w:ascii="仿宋_GB2312" w:eastAsia="仿宋_GB2312" w:cs="仿宋_GB2312"/>
          <w:color w:val="000000"/>
          <w:kern w:val="0"/>
          <w:sz w:val="32"/>
          <w:szCs w:val="32"/>
          <w:lang w:val="en-US" w:eastAsia="zh-CN" w:bidi="ar-SA"/>
        </w:rPr>
        <w:t>一般</w:t>
      </w:r>
      <w:r>
        <w:rPr>
          <w:rFonts w:hint="eastAsia" w:ascii="仿宋_GB2312" w:eastAsia="仿宋_GB2312" w:cs="仿宋_GB2312" w:hAnsiTheme="minorHAnsi"/>
          <w:color w:val="000000"/>
          <w:kern w:val="0"/>
          <w:sz w:val="32"/>
          <w:szCs w:val="32"/>
          <w:lang w:val="en-US" w:eastAsia="zh-CN" w:bidi="ar-SA"/>
        </w:rPr>
        <w:t>平均不低于20 亿元（农业企业不低于10亿元），年度研发费用总额占销售收入的比例不低于4%（农业企业不低于3%）</w:t>
      </w:r>
      <w:r>
        <w:rPr>
          <w:rFonts w:hint="eastAsia" w:ascii="仿宋_GB2312" w:eastAsia="仿宋_GB2312" w:cs="仿宋_GB2312"/>
          <w:color w:val="000000"/>
          <w:kern w:val="0"/>
          <w:sz w:val="32"/>
          <w:szCs w:val="32"/>
          <w:lang w:val="en-US" w:eastAsia="zh-CN" w:bidi="ar-SA"/>
        </w:rPr>
        <w:t>；</w:t>
      </w:r>
    </w:p>
    <w:p>
      <w:pPr>
        <w:keepNext w:val="0"/>
        <w:keepLines w:val="0"/>
        <w:pageBreakBefore w:val="0"/>
        <w:numPr>
          <w:ilvl w:val="0"/>
          <w:numId w:val="2"/>
        </w:numPr>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牵头单位为高等学校、科研院所、新型研发机构的，其销售收入不作要求，但须在前沿、颠覆性技术领域具有优势，已建立高效的研发体系和知识产权管理与运用制度，对外提供技术咨询、技术服务、技术转让等取得的收入占年收入的比例不低于30%；有技术转让、技术许可或通过自行孵化企业，实现科技成果转化的成功案例5 例以上。</w:t>
      </w:r>
    </w:p>
    <w:p>
      <w:pPr>
        <w:keepNext w:val="0"/>
        <w:keepLines w:val="0"/>
        <w:pageBreakBefore w:val="0"/>
        <w:numPr>
          <w:ilvl w:val="0"/>
          <w:numId w:val="3"/>
        </w:numPr>
        <w:kinsoku/>
        <w:wordWrap/>
        <w:overflowPunct/>
        <w:topLinePunct w:val="0"/>
        <w:bidi w:val="0"/>
        <w:snapToGrid/>
        <w:spacing w:line="560" w:lineRule="exact"/>
        <w:ind w:left="0" w:leftChars="0" w:right="0" w:rightChars="0" w:firstLine="645"/>
        <w:jc w:val="both"/>
        <w:textAlignment w:val="auto"/>
        <w:outlineLvl w:val="9"/>
        <w:rPr>
          <w:rFonts w:hint="eastAsia" w:ascii="楷体" w:hAnsi="楷体" w:eastAsia="楷体" w:cs="楷体"/>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研发能力</w:t>
      </w:r>
    </w:p>
    <w:p>
      <w:pPr>
        <w:keepNext w:val="0"/>
        <w:keepLines w:val="0"/>
        <w:pageBreakBefore w:val="0"/>
        <w:numPr>
          <w:ilvl w:val="0"/>
          <w:numId w:val="4"/>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依托单位具有承担国家及省级重大科研项目的经验和能力，有丰富的科研成果和足够的知识产权作为技术支撑</w:t>
      </w:r>
      <w:r>
        <w:rPr>
          <w:rFonts w:hint="eastAsia" w:ascii="仿宋_GB2312" w:eastAsia="仿宋_GB2312" w:cs="仿宋_GB2312"/>
          <w:color w:val="000000"/>
          <w:kern w:val="0"/>
          <w:sz w:val="32"/>
          <w:szCs w:val="32"/>
          <w:lang w:val="en-US" w:eastAsia="zh-CN" w:bidi="ar-SA"/>
        </w:rPr>
        <w:t>；</w:t>
      </w:r>
    </w:p>
    <w:p>
      <w:pPr>
        <w:keepNext w:val="0"/>
        <w:keepLines w:val="0"/>
        <w:pageBreakBefore w:val="0"/>
        <w:numPr>
          <w:ilvl w:val="0"/>
          <w:numId w:val="4"/>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依托单位近三年一般要承担过6项以上国家或省级</w:t>
      </w:r>
      <w:r>
        <w:rPr>
          <w:rFonts w:hint="eastAsia" w:ascii="仿宋_GB2312" w:eastAsia="仿宋_GB2312" w:cs="仿宋_GB2312"/>
          <w:color w:val="000000"/>
          <w:kern w:val="0"/>
          <w:sz w:val="32"/>
          <w:szCs w:val="32"/>
          <w:lang w:val="en-US" w:eastAsia="zh-CN" w:bidi="ar-SA"/>
        </w:rPr>
        <w:t>科研</w:t>
      </w:r>
      <w:r>
        <w:rPr>
          <w:rFonts w:hint="eastAsia" w:ascii="仿宋_GB2312" w:eastAsia="仿宋_GB2312" w:cs="仿宋_GB2312" w:hAnsiTheme="minorHAnsi"/>
          <w:color w:val="000000"/>
          <w:kern w:val="0"/>
          <w:sz w:val="32"/>
          <w:szCs w:val="32"/>
          <w:lang w:val="en-US" w:eastAsia="zh-CN" w:bidi="ar-SA"/>
        </w:rPr>
        <w:t>项目；</w:t>
      </w:r>
    </w:p>
    <w:p>
      <w:pPr>
        <w:keepNext w:val="0"/>
        <w:keepLines w:val="0"/>
        <w:pageBreakBefore w:val="0"/>
        <w:numPr>
          <w:ilvl w:val="0"/>
          <w:numId w:val="4"/>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技术水平得到认可，近三年获得至少1项省级或</w:t>
      </w:r>
      <w:r>
        <w:rPr>
          <w:rFonts w:hint="eastAsia" w:ascii="仿宋_GB2312" w:eastAsia="仿宋_GB2312" w:cs="仿宋_GB2312"/>
          <w:color w:val="000000"/>
          <w:kern w:val="0"/>
          <w:sz w:val="32"/>
          <w:szCs w:val="32"/>
          <w:lang w:val="en-US" w:eastAsia="zh-CN" w:bidi="ar-SA"/>
        </w:rPr>
        <w:t>国家级</w:t>
      </w:r>
      <w:r>
        <w:rPr>
          <w:rFonts w:hint="eastAsia" w:ascii="仿宋_GB2312" w:eastAsia="仿宋_GB2312" w:cs="仿宋_GB2312" w:hAnsiTheme="minorHAnsi"/>
          <w:color w:val="000000"/>
          <w:kern w:val="0"/>
          <w:sz w:val="32"/>
          <w:szCs w:val="32"/>
          <w:lang w:val="en-US" w:eastAsia="zh-CN" w:bidi="ar-SA"/>
        </w:rPr>
        <w:t>科技奖励，获得发明专利不少于15件。</w:t>
      </w:r>
    </w:p>
    <w:p>
      <w:pPr>
        <w:keepNext w:val="0"/>
        <w:keepLines w:val="0"/>
        <w:pageBreakBefore w:val="0"/>
        <w:numPr>
          <w:ilvl w:val="0"/>
          <w:numId w:val="5"/>
        </w:numPr>
        <w:kinsoku/>
        <w:wordWrap/>
        <w:overflowPunct/>
        <w:topLinePunct w:val="0"/>
        <w:bidi w:val="0"/>
        <w:snapToGrid/>
        <w:spacing w:line="560" w:lineRule="exact"/>
        <w:ind w:left="0" w:leftChars="0" w:right="0" w:rightChars="0" w:firstLine="645"/>
        <w:jc w:val="both"/>
        <w:textAlignment w:val="auto"/>
        <w:outlineLvl w:val="9"/>
        <w:rPr>
          <w:rFonts w:hint="eastAsia" w:ascii="楷体" w:hAnsi="楷体" w:eastAsia="楷体" w:cs="楷体"/>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人才队伍</w:t>
      </w:r>
    </w:p>
    <w:p>
      <w:pPr>
        <w:keepNext w:val="0"/>
        <w:keepLines w:val="0"/>
        <w:pageBreakBefore w:val="0"/>
        <w:numPr>
          <w:ilvl w:val="0"/>
          <w:numId w:val="6"/>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配置合理稳定的技术创新团队，能吸引海内外优秀人才互动交流，开展合作研究与科技成果转化工作</w:t>
      </w:r>
      <w:r>
        <w:rPr>
          <w:rFonts w:hint="eastAsia" w:ascii="仿宋_GB2312" w:eastAsia="仿宋_GB2312" w:cs="仿宋_GB2312"/>
          <w:color w:val="000000"/>
          <w:kern w:val="0"/>
          <w:sz w:val="32"/>
          <w:szCs w:val="32"/>
          <w:lang w:val="en-US" w:eastAsia="zh-CN" w:bidi="ar-SA"/>
        </w:rPr>
        <w:t>；</w:t>
      </w:r>
    </w:p>
    <w:p>
      <w:pPr>
        <w:keepNext w:val="0"/>
        <w:keepLines w:val="0"/>
        <w:pageBreakBefore w:val="0"/>
        <w:numPr>
          <w:ilvl w:val="0"/>
          <w:numId w:val="6"/>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科研人员数量不少于100人，固定人员不少于80%；泰山产业领军人才</w:t>
      </w:r>
      <w:r>
        <w:rPr>
          <w:rFonts w:hint="eastAsia" w:ascii="仿宋_GB2312" w:eastAsia="仿宋_GB2312" w:cs="仿宋_GB2312"/>
          <w:color w:val="000000"/>
          <w:kern w:val="0"/>
          <w:sz w:val="32"/>
          <w:szCs w:val="32"/>
          <w:lang w:val="en-US" w:eastAsia="zh-CN" w:bidi="ar-SA"/>
        </w:rPr>
        <w:t>、</w:t>
      </w:r>
      <w:r>
        <w:rPr>
          <w:rFonts w:hint="eastAsia" w:ascii="仿宋_GB2312" w:eastAsia="仿宋_GB2312" w:cs="仿宋_GB2312" w:hAnsiTheme="minorHAnsi"/>
          <w:color w:val="000000"/>
          <w:kern w:val="0"/>
          <w:sz w:val="32"/>
          <w:szCs w:val="32"/>
          <w:lang w:val="en-US" w:eastAsia="zh-CN" w:bidi="ar-SA"/>
        </w:rPr>
        <w:t>国家杰青等省级</w:t>
      </w:r>
      <w:r>
        <w:rPr>
          <w:rFonts w:hint="eastAsia" w:ascii="仿宋_GB2312" w:eastAsia="仿宋_GB2312" w:cs="仿宋_GB2312"/>
          <w:color w:val="000000"/>
          <w:kern w:val="0"/>
          <w:sz w:val="32"/>
          <w:szCs w:val="32"/>
          <w:lang w:val="en-US" w:eastAsia="zh-CN" w:bidi="ar-SA"/>
        </w:rPr>
        <w:t>和</w:t>
      </w:r>
      <w:r>
        <w:rPr>
          <w:rFonts w:hint="eastAsia" w:ascii="仿宋_GB2312" w:eastAsia="仿宋_GB2312" w:cs="仿宋_GB2312" w:hAnsiTheme="minorHAnsi"/>
          <w:color w:val="000000"/>
          <w:kern w:val="0"/>
          <w:sz w:val="32"/>
          <w:szCs w:val="32"/>
          <w:lang w:val="en-US" w:eastAsia="zh-CN" w:bidi="ar-SA"/>
        </w:rPr>
        <w:t>国家级人才不少于3人</w:t>
      </w:r>
      <w:r>
        <w:rPr>
          <w:rFonts w:hint="eastAsia" w:ascii="仿宋_GB2312" w:eastAsia="仿宋_GB2312" w:cs="仿宋_GB2312"/>
          <w:color w:val="000000"/>
          <w:kern w:val="0"/>
          <w:sz w:val="32"/>
          <w:szCs w:val="32"/>
          <w:lang w:val="en-US" w:eastAsia="zh-CN" w:bidi="ar-SA"/>
        </w:rPr>
        <w:t>；</w:t>
      </w:r>
    </w:p>
    <w:p>
      <w:pPr>
        <w:keepNext w:val="0"/>
        <w:keepLines w:val="0"/>
        <w:pageBreakBefore w:val="0"/>
        <w:numPr>
          <w:ilvl w:val="0"/>
          <w:numId w:val="6"/>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培养或引进院士专家的优先支持。</w:t>
      </w:r>
    </w:p>
    <w:p>
      <w:pPr>
        <w:keepNext w:val="0"/>
        <w:keepLines w:val="0"/>
        <w:pageBreakBefore w:val="0"/>
        <w:numPr>
          <w:ilvl w:val="0"/>
          <w:numId w:val="7"/>
        </w:numPr>
        <w:kinsoku/>
        <w:wordWrap/>
        <w:overflowPunct/>
        <w:topLinePunct w:val="0"/>
        <w:bidi w:val="0"/>
        <w:snapToGrid/>
        <w:spacing w:line="560" w:lineRule="exact"/>
        <w:ind w:left="0" w:leftChars="0" w:right="0" w:rightChars="0" w:firstLine="645"/>
        <w:jc w:val="both"/>
        <w:textAlignment w:val="auto"/>
        <w:outlineLvl w:val="9"/>
        <w:rPr>
          <w:rFonts w:hint="eastAsia" w:ascii="楷体" w:hAnsi="楷体" w:eastAsia="楷体" w:cs="楷体"/>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研发投入</w:t>
      </w:r>
    </w:p>
    <w:p>
      <w:pPr>
        <w:keepNext w:val="0"/>
        <w:keepLines w:val="0"/>
        <w:pageBreakBefore w:val="0"/>
        <w:numPr>
          <w:ilvl w:val="0"/>
          <w:numId w:val="8"/>
        </w:numPr>
        <w:kinsoku/>
        <w:wordWrap/>
        <w:overflowPunct/>
        <w:topLinePunct w:val="0"/>
        <w:bidi w:val="0"/>
        <w:snapToGrid/>
        <w:spacing w:line="560" w:lineRule="exact"/>
        <w:ind w:left="0" w:leftChars="0" w:right="0" w:rightChars="0" w:firstLine="640" w:firstLineChars="200"/>
        <w:jc w:val="both"/>
        <w:textAlignment w:val="auto"/>
        <w:outlineLvl w:val="9"/>
        <w:rPr>
          <w:rFonts w:ascii="仿宋_GB2312" w:eastAsia="仿宋_GB2312"/>
          <w:sz w:val="32"/>
          <w:szCs w:val="32"/>
        </w:rPr>
      </w:pPr>
      <w:r>
        <w:rPr>
          <w:rFonts w:hint="eastAsia" w:ascii="仿宋_GB2312" w:eastAsia="仿宋_GB2312" w:cs="仿宋_GB2312" w:hAnsiTheme="minorHAnsi"/>
          <w:color w:val="000000"/>
          <w:kern w:val="0"/>
          <w:sz w:val="32"/>
          <w:szCs w:val="32"/>
          <w:lang w:val="en-US" w:eastAsia="zh-CN" w:bidi="ar-SA"/>
        </w:rPr>
        <w:t>依托单位须提供必要的基础设施及科研仪器设备，一般科研用房面积不低于4000平方米，建有2个以上的中试基地</w:t>
      </w:r>
      <w:r>
        <w:rPr>
          <w:rFonts w:ascii="仿宋_GB2312" w:eastAsia="仿宋_GB2312"/>
          <w:sz w:val="32"/>
          <w:szCs w:val="32"/>
        </w:rPr>
        <w:t>或产业化基地</w:t>
      </w:r>
    </w:p>
    <w:p>
      <w:pPr>
        <w:keepNext w:val="0"/>
        <w:keepLines w:val="0"/>
        <w:pageBreakBefore w:val="0"/>
        <w:numPr>
          <w:ilvl w:val="0"/>
          <w:numId w:val="8"/>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color w:val="000000"/>
          <w:kern w:val="0"/>
          <w:sz w:val="32"/>
          <w:szCs w:val="32"/>
        </w:rPr>
      </w:pPr>
      <w:r>
        <w:rPr>
          <w:rFonts w:hint="eastAsia" w:ascii="仿宋_GB2312" w:eastAsia="仿宋_GB2312" w:cs="仿宋_GB2312" w:hAnsiTheme="minorHAnsi"/>
          <w:color w:val="000000"/>
          <w:kern w:val="0"/>
          <w:sz w:val="32"/>
          <w:szCs w:val="32"/>
          <w:lang w:val="en-US" w:eastAsia="zh-CN" w:bidi="ar-SA"/>
        </w:rPr>
        <w:t>实验仪器设备原值总和不低于3000万元</w:t>
      </w:r>
      <w:r>
        <w:rPr>
          <w:rFonts w:hint="eastAsia" w:ascii="仿宋_GB2312" w:eastAsia="仿宋_GB2312" w:cs="仿宋_GB2312"/>
          <w:color w:val="000000"/>
          <w:kern w:val="0"/>
          <w:sz w:val="32"/>
          <w:szCs w:val="32"/>
          <w:lang w:val="en-US" w:eastAsia="zh-CN" w:bidi="ar-SA"/>
        </w:rPr>
        <w:t>；</w:t>
      </w:r>
    </w:p>
    <w:p>
      <w:pPr>
        <w:keepNext w:val="0"/>
        <w:keepLines w:val="0"/>
        <w:pageBreakBefore w:val="0"/>
        <w:numPr>
          <w:ilvl w:val="0"/>
          <w:numId w:val="8"/>
        </w:numPr>
        <w:kinsoku/>
        <w:wordWrap/>
        <w:overflowPunct/>
        <w:topLinePunct w:val="0"/>
        <w:bidi w:val="0"/>
        <w:snapToGrid/>
        <w:spacing w:line="560" w:lineRule="exact"/>
        <w:ind w:left="0" w:leftChars="0" w:right="0" w:rightChars="0" w:firstLine="640" w:firstLineChars="200"/>
        <w:jc w:val="both"/>
        <w:textAlignment w:val="auto"/>
        <w:outlineLvl w:val="9"/>
        <w:rPr>
          <w:rFonts w:hint="eastAsia" w:ascii="仿宋_GB2312" w:eastAsia="仿宋_GB2312" w:cs="仿宋_GB2312"/>
          <w:color w:val="000000"/>
          <w:kern w:val="0"/>
          <w:sz w:val="32"/>
          <w:szCs w:val="32"/>
        </w:rPr>
      </w:pPr>
      <w:r>
        <w:rPr>
          <w:rFonts w:hint="eastAsia" w:ascii="仿宋_GB2312" w:eastAsia="仿宋_GB2312" w:cs="仿宋_GB2312" w:hAnsiTheme="minorHAnsi"/>
          <w:color w:val="000000"/>
          <w:kern w:val="0"/>
          <w:sz w:val="32"/>
          <w:szCs w:val="32"/>
          <w:lang w:val="en-US" w:eastAsia="zh-CN" w:bidi="ar-SA"/>
        </w:rPr>
        <w:t>每年度投入技术创新中心的研发经费不少于2000万元。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5"/>
        <w:jc w:val="both"/>
        <w:textAlignment w:val="auto"/>
        <w:outlineLvl w:val="9"/>
        <w:rPr>
          <w:rFonts w:hint="eastAsia" w:ascii="黑体" w:hAnsi="黑体" w:eastAsia="黑体"/>
          <w:sz w:val="32"/>
          <w:szCs w:val="32"/>
          <w:lang w:val="en-US" w:eastAsia="zh-CN"/>
        </w:rPr>
      </w:pPr>
      <w:r>
        <w:rPr>
          <w:rFonts w:hint="eastAsia" w:ascii="黑体" w:hAnsi="黑体" w:eastAsia="黑体"/>
          <w:sz w:val="32"/>
          <w:szCs w:val="32"/>
        </w:rPr>
        <w:t>六、</w:t>
      </w:r>
      <w:r>
        <w:rPr>
          <w:rFonts w:hint="eastAsia" w:ascii="黑体" w:hAnsi="黑体" w:eastAsia="黑体"/>
          <w:sz w:val="32"/>
          <w:szCs w:val="32"/>
          <w:lang w:val="en-US" w:eastAsia="zh-CN"/>
        </w:rPr>
        <w:t>建设程序</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（一）提出意向。</w:t>
      </w:r>
      <w:r>
        <w:rPr>
          <w:rFonts w:hint="eastAsia" w:ascii="仿宋_GB2312" w:eastAsia="仿宋_GB2312" w:cs="仿宋_GB2312" w:hAnsiTheme="minorHAnsi"/>
          <w:color w:val="000000"/>
          <w:kern w:val="0"/>
          <w:sz w:val="32"/>
          <w:szCs w:val="32"/>
          <w:lang w:val="en-US" w:eastAsia="zh-CN" w:bidi="ar-SA"/>
        </w:rPr>
        <w:t>由设区市政府、省直有关部门等根据省科技厅统筹布局和申报要求，推荐提出建设意向，并组织创建，牵头单位编制建设与运行实施方案。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（二）咨询论证。</w:t>
      </w:r>
      <w:r>
        <w:rPr>
          <w:rFonts w:hint="eastAsia" w:ascii="仿宋_GB2312" w:eastAsia="仿宋_GB2312" w:cs="仿宋_GB2312" w:hAnsiTheme="minorHAnsi"/>
          <w:color w:val="000000"/>
          <w:kern w:val="0"/>
          <w:sz w:val="32"/>
          <w:szCs w:val="32"/>
          <w:lang w:val="en-US" w:eastAsia="zh-CN" w:bidi="ar-SA"/>
        </w:rPr>
        <w:t>科技厅组织专家对建设与运行实施方案进行咨询论证、开展实地考察，建设单位根据专家意见及建设条件完善方案。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（三）创建申请。</w:t>
      </w:r>
      <w:r>
        <w:rPr>
          <w:rFonts w:hint="eastAsia" w:ascii="仿宋_GB2312" w:eastAsia="仿宋_GB2312" w:cs="仿宋_GB2312" w:hAnsiTheme="minorHAnsi"/>
          <w:color w:val="000000"/>
          <w:kern w:val="0"/>
          <w:sz w:val="32"/>
          <w:szCs w:val="32"/>
          <w:lang w:val="en-US" w:eastAsia="zh-CN" w:bidi="ar-SA"/>
        </w:rPr>
        <w:t>建设单位按照咨询论证意见整改完善、落实有关要求后，由设区市政府、省直关部门正式提出创建申请。</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（四）批复建设。</w:t>
      </w:r>
      <w:r>
        <w:rPr>
          <w:rFonts w:hint="eastAsia" w:ascii="仿宋_GB2312" w:eastAsia="仿宋_GB2312" w:cs="仿宋_GB2312" w:hAnsiTheme="minorHAnsi"/>
          <w:color w:val="000000"/>
          <w:kern w:val="0"/>
          <w:sz w:val="32"/>
          <w:szCs w:val="32"/>
          <w:lang w:val="en-US" w:eastAsia="zh-CN" w:bidi="ar-SA"/>
        </w:rPr>
        <w:t>对通过方案评审、实地评估、各方面条件成熟的，科技厅公示无异议后，发文批复筹建。</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黑体" w:hAnsi="黑体" w:eastAsia="黑体"/>
          <w:sz w:val="32"/>
          <w:szCs w:val="32"/>
        </w:rPr>
      </w:pPr>
      <w:r>
        <w:rPr>
          <w:rFonts w:hint="eastAsia" w:ascii="黑体" w:hAnsi="黑体" w:eastAsia="黑体"/>
          <w:sz w:val="32"/>
          <w:szCs w:val="32"/>
          <w:lang w:val="en-US" w:eastAsia="zh-CN"/>
        </w:rPr>
        <w:t>七、管理运行机制</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楷体" w:hAnsi="楷体" w:eastAsia="楷体" w:cs="楷体"/>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（一）组织管理</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1.法人制度。技术创新中心原则上应成立独立法人实体。尚不具备条件的，先行实现人、财、物相对独立的管理机制，3年内完成向独立法人过渡。根据组建模式的不同，可以探索组建企业、</w:t>
      </w:r>
      <w:r>
        <w:rPr>
          <w:rFonts w:hint="eastAsia" w:ascii="仿宋_GB2312" w:eastAsia="仿宋_GB2312" w:cs="仿宋_GB2312"/>
          <w:color w:val="000000"/>
          <w:kern w:val="0"/>
          <w:sz w:val="32"/>
          <w:szCs w:val="32"/>
          <w:lang w:val="en-US" w:eastAsia="zh-CN" w:bidi="ar-SA"/>
        </w:rPr>
        <w:t>民非、新型研发</w:t>
      </w:r>
      <w:r>
        <w:rPr>
          <w:rFonts w:hint="eastAsia" w:ascii="仿宋_GB2312" w:eastAsia="仿宋_GB2312" w:cs="仿宋_GB2312" w:hAnsiTheme="minorHAnsi"/>
          <w:color w:val="000000"/>
          <w:kern w:val="0"/>
          <w:sz w:val="32"/>
          <w:szCs w:val="32"/>
          <w:lang w:val="en-US" w:eastAsia="zh-CN" w:bidi="ar-SA"/>
        </w:rPr>
        <w:t>机构等不同类型的法人实体。</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2.组织架构。组建理事会(董事会)、专家委员会，制定管理章程，明确企业、高校、科研院所等共建单位的权利和义务，实行理事会(董事会)决策制、中心主任负责制、专家委员会咨询制的管理机制。</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（1）理事会(董事会)由地方政府、牵头单位、共建单位的人员组成(无共建单位的由牵头单位相关人员组成)，理事长(董事长) 定期组织召开会议，研究审定技术创新中心的发展计划、重大项目、经费预决算、主任聘用等重大事项，决策技术创新中心建设、管理、发展和人财物等方面事项。</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2）专家委员会由中心主任、技术专家、管理专家、经济专家等人员组成，其中牵头单位和共建单位的人员不超过总人数三分之一。专家委员会主任应由非依托单位、共建单位的有影响的专家担任。专家委员会对技术创新中心研发方向和研发内容、科研计划和项目、知识产权管理和技术服务、重大学术活动以及年度工作等提出咨询指导意见。</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仿宋_GB2312" w:eastAsia="仿宋_GB2312" w:cs="仿宋_GB2312" w:hAnsiTheme="minorHAnsi"/>
          <w:color w:val="000000"/>
          <w:kern w:val="0"/>
          <w:sz w:val="32"/>
          <w:szCs w:val="32"/>
          <w:lang w:val="en-US" w:eastAsia="zh-CN" w:bidi="ar-SA"/>
        </w:rPr>
        <w:t>（3）中心主任应具有较强的科技创新工作组织管理能力，每年在技术创新中心工作时间不少于9个月。</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（二）公司化运行机制。</w:t>
      </w:r>
      <w:r>
        <w:rPr>
          <w:rFonts w:hint="eastAsia" w:ascii="仿宋_GB2312" w:eastAsia="仿宋_GB2312" w:cs="仿宋_GB2312" w:hAnsiTheme="minorHAnsi"/>
          <w:color w:val="000000"/>
          <w:kern w:val="0"/>
          <w:sz w:val="32"/>
          <w:szCs w:val="32"/>
          <w:lang w:val="en-US" w:eastAsia="zh-CN" w:bidi="ar-SA"/>
        </w:rPr>
        <w:t>企业牵头建设的技术创新中心以独立法人实体开展公司化运营管理，严格健全和执行公司章程及各类管理制度，通过市场化运行、股权激励、专业化管理等保障技术创新中心稳定高效运营。</w:t>
      </w:r>
      <w:r>
        <w:rPr>
          <w:rFonts w:hint="eastAsia" w:ascii="仿宋_GB2312" w:eastAsia="仿宋_GB2312" w:cs="仿宋_GB2312"/>
          <w:color w:val="000000"/>
          <w:kern w:val="0"/>
          <w:sz w:val="32"/>
          <w:szCs w:val="32"/>
          <w:lang w:val="en-US" w:eastAsia="zh-CN" w:bidi="ar-SA"/>
        </w:rPr>
        <w:t>其他实体牵头建设的技术创新中心探索建立公司化运行机制。</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（三）产学研合作机制。</w:t>
      </w:r>
      <w:r>
        <w:rPr>
          <w:rFonts w:hint="eastAsia" w:ascii="仿宋_GB2312" w:eastAsia="仿宋_GB2312" w:cs="仿宋_GB2312" w:hAnsiTheme="minorHAnsi"/>
          <w:color w:val="000000"/>
          <w:kern w:val="0"/>
          <w:sz w:val="32"/>
          <w:szCs w:val="32"/>
          <w:lang w:val="en-US" w:eastAsia="zh-CN" w:bidi="ar-SA"/>
        </w:rPr>
        <w:t>技术创新中心通过体制机制创新有效整合国内外行业优势科研及产业资源，围绕技术突破、技术转化、技术引领建设技术链和产业链上下游高效协同的创新平台，建立起“源头创新驱动”与“市</w:t>
      </w:r>
      <w:bookmarkStart w:id="0" w:name="_GoBack"/>
      <w:bookmarkEnd w:id="0"/>
      <w:r>
        <w:rPr>
          <w:rFonts w:hint="eastAsia" w:ascii="仿宋_GB2312" w:eastAsia="仿宋_GB2312" w:cs="仿宋_GB2312" w:hAnsiTheme="minorHAnsi"/>
          <w:color w:val="000000"/>
          <w:kern w:val="0"/>
          <w:sz w:val="32"/>
          <w:szCs w:val="32"/>
          <w:lang w:val="en-US" w:eastAsia="zh-CN" w:bidi="ar-SA"/>
        </w:rPr>
        <w:t>场需求牵引”相结合的协同研发机制，实现企业与高校院所一体化合作，建立创新联合体。</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（四）多元化投入机制。</w:t>
      </w:r>
      <w:r>
        <w:rPr>
          <w:rFonts w:hint="eastAsia" w:ascii="仿宋_GB2312" w:eastAsia="仿宋_GB2312" w:cs="仿宋_GB2312" w:hAnsiTheme="minorHAnsi"/>
          <w:color w:val="000000"/>
          <w:kern w:val="0"/>
          <w:sz w:val="32"/>
          <w:szCs w:val="32"/>
          <w:lang w:val="en-US" w:eastAsia="zh-CN" w:bidi="ar-SA"/>
        </w:rPr>
        <w:t>建立以地方政府和共建单位直接投入为主，引导带动各类产业投资和社会资本投入的多元投入机制，形成市场化服务收入、竞争性课题以及财政资金后补助等稳定的资金来源。</w:t>
      </w:r>
    </w:p>
    <w:p>
      <w:pPr>
        <w:keepNext w:val="0"/>
        <w:keepLines w:val="0"/>
        <w:pageBreakBefore w:val="0"/>
        <w:kinsoku/>
        <w:wordWrap/>
        <w:overflowPunct/>
        <w:topLinePunct w:val="0"/>
        <w:bidi w:val="0"/>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（五）人才激励机制。</w:t>
      </w:r>
      <w:r>
        <w:rPr>
          <w:rFonts w:hint="eastAsia" w:ascii="仿宋_GB2312" w:eastAsia="仿宋_GB2312" w:cs="仿宋_GB2312" w:hAnsiTheme="minorHAnsi"/>
          <w:color w:val="000000"/>
          <w:kern w:val="0"/>
          <w:sz w:val="32"/>
          <w:szCs w:val="32"/>
          <w:lang w:val="en-US" w:eastAsia="zh-CN" w:bidi="ar-SA"/>
        </w:rPr>
        <w:t>探索人才引进和管理新模式， 试行“双聘、双考核”等柔性引才引智机制，构建应用基础研究、工程研发、技术推广相结合的人才队伍结构。强化建立以成果、目标为导向的人才激励机制，激发人才创新活力。</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2"/>
          <w:szCs w:val="32"/>
          <w:lang w:val="en-US" w:eastAsia="zh-CN" w:bidi="ar-SA"/>
        </w:rPr>
      </w:pPr>
      <w:r>
        <w:rPr>
          <w:rFonts w:hint="eastAsia" w:ascii="楷体" w:hAnsi="楷体" w:eastAsia="楷体" w:cs="楷体"/>
          <w:color w:val="000000"/>
          <w:kern w:val="0"/>
          <w:sz w:val="32"/>
          <w:szCs w:val="32"/>
          <w:lang w:val="en-US" w:eastAsia="zh-CN" w:bidi="ar-SA"/>
        </w:rPr>
        <w:t>（六）市场化服务机制。</w:t>
      </w:r>
      <w:r>
        <w:rPr>
          <w:rFonts w:hint="eastAsia" w:ascii="仿宋_GB2312" w:eastAsia="仿宋_GB2312" w:cs="仿宋_GB2312" w:hAnsiTheme="minorHAnsi"/>
          <w:color w:val="000000"/>
          <w:kern w:val="0"/>
          <w:sz w:val="32"/>
          <w:szCs w:val="32"/>
          <w:lang w:val="en-US" w:eastAsia="zh-CN" w:bidi="ar-SA"/>
        </w:rPr>
        <w:t xml:space="preserve">充分利用自身软硬件和人才资源优势，面向全行业提供市场化服务，主要包括合同研发、产业孵化、行业服务等。通过市场化服务获取收益，实现自身造血，保障中心可持续发展。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5"/>
        <w:jc w:val="both"/>
        <w:textAlignment w:val="auto"/>
        <w:outlineLvl w:val="9"/>
        <w:rPr>
          <w:rFonts w:hint="eastAsia" w:ascii="仿宋_GB2312" w:eastAsia="仿宋_GB2312" w:cs="仿宋_GB2312" w:hAnsiTheme="minorHAnsi"/>
          <w:color w:val="000000"/>
          <w:kern w:val="0"/>
          <w:sz w:val="36"/>
          <w:szCs w:val="36"/>
          <w:lang w:val="en-US" w:eastAsia="zh-CN" w:bidi="ar-SA"/>
        </w:rPr>
      </w:pPr>
      <w:r>
        <w:rPr>
          <w:rFonts w:hint="eastAsia" w:ascii="楷体" w:hAnsi="楷体" w:eastAsia="楷体" w:cs="楷体"/>
          <w:color w:val="000000"/>
          <w:kern w:val="0"/>
          <w:sz w:val="32"/>
          <w:szCs w:val="32"/>
          <w:lang w:val="en-US" w:eastAsia="zh-CN" w:bidi="ar-SA"/>
        </w:rPr>
        <w:t>（七）共建合作机制。</w:t>
      </w:r>
      <w:r>
        <w:rPr>
          <w:rFonts w:hint="eastAsia" w:ascii="仿宋_GB2312" w:eastAsia="仿宋_GB2312" w:cs="仿宋_GB2312" w:hAnsiTheme="minorHAnsi"/>
          <w:color w:val="000000"/>
          <w:kern w:val="0"/>
          <w:sz w:val="32"/>
          <w:szCs w:val="32"/>
          <w:lang w:val="en-US" w:eastAsia="zh-CN" w:bidi="ar-SA"/>
        </w:rPr>
        <w:t>共建单位共同入股技术创新中心，参与技术创新中心的重大事项决策。共建单位以技术创新中心为平台开展定制化研发、实施竞争性课题、建立资源协同平台并投资孵化项目，享有商业机会的优先知情权和参与权。</w:t>
      </w:r>
    </w:p>
    <w:p>
      <w:pPr>
        <w:keepNext w:val="0"/>
        <w:keepLines w:val="0"/>
        <w:pageBreakBefore w:val="0"/>
        <w:tabs>
          <w:tab w:val="left" w:pos="6305"/>
        </w:tabs>
        <w:kinsoku/>
        <w:wordWrap/>
        <w:overflowPunct/>
        <w:topLinePunct w:val="0"/>
        <w:bidi w:val="0"/>
        <w:spacing w:line="560" w:lineRule="exact"/>
        <w:jc w:val="left"/>
        <w:textAlignment w:val="auto"/>
        <w:rPr>
          <w:rFonts w:hint="eastAsia"/>
          <w:lang w:val="en-US" w:eastAsia="zh-CN"/>
        </w:rPr>
      </w:pPr>
    </w:p>
    <w:sectPr>
      <w:footerReference r:id="rId3" w:type="default"/>
      <w:pgSz w:w="11906" w:h="16838"/>
      <w:pgMar w:top="2098" w:right="1474" w:bottom="1984" w:left="1587" w:header="851" w:footer="992" w:gutter="0"/>
      <w:pgNumType w:fmt="numberInDash" w:start="2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sz w:val="24"/>
        <w:szCs w:val="24"/>
      </w:rPr>
    </w:pPr>
    <w:r>
      <w:rPr>
        <w:sz w:val="24"/>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hint="eastAsia" w:ascii="宋体" w:hAnsi="宋体" w:eastAsia="宋体" w:cs="宋体"/>
                              <w:sz w:val="28"/>
                              <w:szCs w:val="28"/>
                            </w:rPr>
                            <w:id w:val="-32496370"/>
                          </w:sdtPr>
                          <w:sdtEndPr>
                            <w:rPr>
                              <w:rFonts w:hint="eastAsia" w:ascii="宋体" w:hAnsi="宋体" w:eastAsia="宋体" w:cs="宋体"/>
                              <w:sz w:val="28"/>
                              <w:szCs w:val="28"/>
                            </w:rPr>
                          </w:sdtEndPr>
                          <w:sdtContent>
                            <w:p>
                              <w:pPr>
                                <w:pStyle w:val="3"/>
                                <w:jc w:val="center"/>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w:t>
                              </w:r>
                              <w:r>
                                <w:rPr>
                                  <w:rFonts w:hint="eastAsia" w:ascii="宋体" w:hAnsi="宋体" w:eastAsia="宋体" w:cs="宋体"/>
                                  <w:sz w:val="28"/>
                                  <w:szCs w:val="28"/>
                                </w:rPr>
                                <w:t xml:space="preserve"> 6 -</w:t>
                              </w:r>
                              <w:r>
                                <w:rPr>
                                  <w:rFonts w:hint="eastAsia" w:ascii="宋体" w:hAnsi="宋体" w:eastAsia="宋体" w:cs="宋体"/>
                                  <w:sz w:val="28"/>
                                  <w:szCs w:val="28"/>
                                </w:rPr>
                                <w:fldChar w:fldCharType="end"/>
                              </w:r>
                            </w:p>
                          </w:sdtContent>
                        </w:sdt>
                        <w:p>
                          <w:pPr>
                            <w:rPr>
                              <w:rFonts w:hint="eastAsia" w:ascii="宋体" w:hAnsi="宋体" w:eastAsia="宋体" w:cs="宋体"/>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sdt>
                    <w:sdtPr>
                      <w:rPr>
                        <w:rFonts w:hint="eastAsia" w:ascii="宋体" w:hAnsi="宋体" w:eastAsia="宋体" w:cs="宋体"/>
                        <w:sz w:val="28"/>
                        <w:szCs w:val="28"/>
                      </w:rPr>
                      <w:id w:val="-32496370"/>
                    </w:sdtPr>
                    <w:sdtEndPr>
                      <w:rPr>
                        <w:rFonts w:hint="eastAsia" w:ascii="宋体" w:hAnsi="宋体" w:eastAsia="宋体" w:cs="宋体"/>
                        <w:sz w:val="28"/>
                        <w:szCs w:val="28"/>
                      </w:rPr>
                    </w:sdtEndPr>
                    <w:sdtContent>
                      <w:p>
                        <w:pPr>
                          <w:pStyle w:val="3"/>
                          <w:jc w:val="center"/>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w:t>
                        </w:r>
                        <w:r>
                          <w:rPr>
                            <w:rFonts w:hint="eastAsia" w:ascii="宋体" w:hAnsi="宋体" w:eastAsia="宋体" w:cs="宋体"/>
                            <w:sz w:val="28"/>
                            <w:szCs w:val="28"/>
                          </w:rPr>
                          <w:t xml:space="preserve"> 6 -</w:t>
                        </w:r>
                        <w:r>
                          <w:rPr>
                            <w:rFonts w:hint="eastAsia" w:ascii="宋体" w:hAnsi="宋体" w:eastAsia="宋体" w:cs="宋体"/>
                            <w:sz w:val="28"/>
                            <w:szCs w:val="28"/>
                          </w:rPr>
                          <w:fldChar w:fldCharType="end"/>
                        </w:r>
                      </w:p>
                    </w:sdtContent>
                  </w:sdt>
                  <w:p>
                    <w:pPr>
                      <w:rPr>
                        <w:rFonts w:hint="eastAsia" w:ascii="宋体" w:hAnsi="宋体" w:eastAsia="宋体" w:cs="宋体"/>
                        <w:sz w:val="28"/>
                        <w:szCs w:val="28"/>
                      </w:rPr>
                    </w:pPr>
                  </w:p>
                </w:txbxContent>
              </v:textbox>
            </v:shape>
          </w:pict>
        </mc:Fallback>
      </mc:AlternateContent>
    </w: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4DA9C4"/>
    <w:multiLevelType w:val="singleLevel"/>
    <w:tmpl w:val="5F4DA9C4"/>
    <w:lvl w:ilvl="0" w:tentative="0">
      <w:start w:val="2"/>
      <w:numFmt w:val="decimal"/>
      <w:suff w:val="nothing"/>
      <w:lvlText w:val="%1."/>
      <w:lvlJc w:val="left"/>
    </w:lvl>
  </w:abstractNum>
  <w:abstractNum w:abstractNumId="1">
    <w:nsid w:val="5F50B8B2"/>
    <w:multiLevelType w:val="singleLevel"/>
    <w:tmpl w:val="5F50B8B2"/>
    <w:lvl w:ilvl="0" w:tentative="0">
      <w:start w:val="1"/>
      <w:numFmt w:val="decimal"/>
      <w:suff w:val="nothing"/>
      <w:lvlText w:val="%1."/>
      <w:lvlJc w:val="left"/>
    </w:lvl>
  </w:abstractNum>
  <w:abstractNum w:abstractNumId="2">
    <w:nsid w:val="5F50B8D0"/>
    <w:multiLevelType w:val="singleLevel"/>
    <w:tmpl w:val="5F50B8D0"/>
    <w:lvl w:ilvl="0" w:tentative="0">
      <w:start w:val="3"/>
      <w:numFmt w:val="chineseCounting"/>
      <w:suff w:val="nothing"/>
      <w:lvlText w:val="（%1）"/>
      <w:lvlJc w:val="left"/>
    </w:lvl>
  </w:abstractNum>
  <w:abstractNum w:abstractNumId="3">
    <w:nsid w:val="5F50B8E7"/>
    <w:multiLevelType w:val="singleLevel"/>
    <w:tmpl w:val="5F50B8E7"/>
    <w:lvl w:ilvl="0" w:tentative="0">
      <w:start w:val="1"/>
      <w:numFmt w:val="decimal"/>
      <w:suff w:val="nothing"/>
      <w:lvlText w:val="%1."/>
      <w:lvlJc w:val="left"/>
    </w:lvl>
  </w:abstractNum>
  <w:abstractNum w:abstractNumId="4">
    <w:nsid w:val="5F50B925"/>
    <w:multiLevelType w:val="singleLevel"/>
    <w:tmpl w:val="5F50B925"/>
    <w:lvl w:ilvl="0" w:tentative="0">
      <w:start w:val="4"/>
      <w:numFmt w:val="chineseCounting"/>
      <w:suff w:val="nothing"/>
      <w:lvlText w:val="（%1）"/>
      <w:lvlJc w:val="left"/>
    </w:lvl>
  </w:abstractNum>
  <w:abstractNum w:abstractNumId="5">
    <w:nsid w:val="5F50B948"/>
    <w:multiLevelType w:val="singleLevel"/>
    <w:tmpl w:val="5F50B948"/>
    <w:lvl w:ilvl="0" w:tentative="0">
      <w:start w:val="1"/>
      <w:numFmt w:val="decimal"/>
      <w:suff w:val="nothing"/>
      <w:lvlText w:val="%1."/>
      <w:lvlJc w:val="left"/>
    </w:lvl>
  </w:abstractNum>
  <w:abstractNum w:abstractNumId="6">
    <w:nsid w:val="5F50B981"/>
    <w:multiLevelType w:val="singleLevel"/>
    <w:tmpl w:val="5F50B981"/>
    <w:lvl w:ilvl="0" w:tentative="0">
      <w:start w:val="5"/>
      <w:numFmt w:val="chineseCounting"/>
      <w:suff w:val="nothing"/>
      <w:lvlText w:val="（%1）"/>
      <w:lvlJc w:val="left"/>
    </w:lvl>
  </w:abstractNum>
  <w:abstractNum w:abstractNumId="7">
    <w:nsid w:val="5F50B999"/>
    <w:multiLevelType w:val="singleLevel"/>
    <w:tmpl w:val="5F50B999"/>
    <w:lvl w:ilvl="0" w:tentative="0">
      <w:start w:val="1"/>
      <w:numFmt w:val="decimal"/>
      <w:suff w:val="nothing"/>
      <w:lvlText w:val="%1."/>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0855"/>
    <w:rsid w:val="000A5885"/>
    <w:rsid w:val="000B3097"/>
    <w:rsid w:val="000D0E20"/>
    <w:rsid w:val="00186026"/>
    <w:rsid w:val="002573C2"/>
    <w:rsid w:val="002615D2"/>
    <w:rsid w:val="002D4C4D"/>
    <w:rsid w:val="003255AD"/>
    <w:rsid w:val="00342D77"/>
    <w:rsid w:val="003A27C1"/>
    <w:rsid w:val="003B6F41"/>
    <w:rsid w:val="00406DB1"/>
    <w:rsid w:val="00410362"/>
    <w:rsid w:val="00424812"/>
    <w:rsid w:val="004432A1"/>
    <w:rsid w:val="004C31F2"/>
    <w:rsid w:val="004E60D8"/>
    <w:rsid w:val="005039F0"/>
    <w:rsid w:val="00535273"/>
    <w:rsid w:val="005463AD"/>
    <w:rsid w:val="0057041F"/>
    <w:rsid w:val="005F6568"/>
    <w:rsid w:val="005F6FF3"/>
    <w:rsid w:val="00611102"/>
    <w:rsid w:val="00627980"/>
    <w:rsid w:val="00671B48"/>
    <w:rsid w:val="006F3820"/>
    <w:rsid w:val="007405D7"/>
    <w:rsid w:val="0074577B"/>
    <w:rsid w:val="00755B49"/>
    <w:rsid w:val="00777171"/>
    <w:rsid w:val="007E45C5"/>
    <w:rsid w:val="00816E28"/>
    <w:rsid w:val="008203BF"/>
    <w:rsid w:val="008346CA"/>
    <w:rsid w:val="00855404"/>
    <w:rsid w:val="00863D77"/>
    <w:rsid w:val="008B05B8"/>
    <w:rsid w:val="008E6882"/>
    <w:rsid w:val="009305E5"/>
    <w:rsid w:val="009766B1"/>
    <w:rsid w:val="00995B2C"/>
    <w:rsid w:val="009F775C"/>
    <w:rsid w:val="00A6448A"/>
    <w:rsid w:val="00AA6217"/>
    <w:rsid w:val="00AD7895"/>
    <w:rsid w:val="00AE58AD"/>
    <w:rsid w:val="00B5437D"/>
    <w:rsid w:val="00B62F0F"/>
    <w:rsid w:val="00B64F5E"/>
    <w:rsid w:val="00B75BE0"/>
    <w:rsid w:val="00C009EE"/>
    <w:rsid w:val="00C26CE3"/>
    <w:rsid w:val="00C768E0"/>
    <w:rsid w:val="00C820D5"/>
    <w:rsid w:val="00CA5204"/>
    <w:rsid w:val="00D10B0D"/>
    <w:rsid w:val="00D30541"/>
    <w:rsid w:val="00D35DCD"/>
    <w:rsid w:val="00D371EE"/>
    <w:rsid w:val="00D55C27"/>
    <w:rsid w:val="00D85A97"/>
    <w:rsid w:val="00D866FA"/>
    <w:rsid w:val="00DC14FB"/>
    <w:rsid w:val="00DC5B84"/>
    <w:rsid w:val="00EE3B17"/>
    <w:rsid w:val="00EF0281"/>
    <w:rsid w:val="00EF546F"/>
    <w:rsid w:val="00F61A8F"/>
    <w:rsid w:val="00F90855"/>
    <w:rsid w:val="00FC239E"/>
    <w:rsid w:val="00FE3C3B"/>
    <w:rsid w:val="02EC6623"/>
    <w:rsid w:val="03F104CD"/>
    <w:rsid w:val="09457318"/>
    <w:rsid w:val="0C145E8E"/>
    <w:rsid w:val="0C8E5954"/>
    <w:rsid w:val="0F3775C4"/>
    <w:rsid w:val="10136740"/>
    <w:rsid w:val="109C72FF"/>
    <w:rsid w:val="11A636FD"/>
    <w:rsid w:val="13225245"/>
    <w:rsid w:val="1394757C"/>
    <w:rsid w:val="1761522F"/>
    <w:rsid w:val="17976843"/>
    <w:rsid w:val="18CB149C"/>
    <w:rsid w:val="1A7E594F"/>
    <w:rsid w:val="1A8148F2"/>
    <w:rsid w:val="1F680A55"/>
    <w:rsid w:val="20361700"/>
    <w:rsid w:val="21853A09"/>
    <w:rsid w:val="22594B43"/>
    <w:rsid w:val="22BC7860"/>
    <w:rsid w:val="22DC72B3"/>
    <w:rsid w:val="26401487"/>
    <w:rsid w:val="2AC17C4D"/>
    <w:rsid w:val="30016348"/>
    <w:rsid w:val="377466CF"/>
    <w:rsid w:val="39A2537C"/>
    <w:rsid w:val="3A923D90"/>
    <w:rsid w:val="3C9729A1"/>
    <w:rsid w:val="3D661832"/>
    <w:rsid w:val="3F48327C"/>
    <w:rsid w:val="3F5F34E2"/>
    <w:rsid w:val="415F62D2"/>
    <w:rsid w:val="41727158"/>
    <w:rsid w:val="41CD411D"/>
    <w:rsid w:val="43762C7D"/>
    <w:rsid w:val="44C308A4"/>
    <w:rsid w:val="46063BE0"/>
    <w:rsid w:val="475D10A9"/>
    <w:rsid w:val="4951470B"/>
    <w:rsid w:val="4B746949"/>
    <w:rsid w:val="4CF5761C"/>
    <w:rsid w:val="4D18084F"/>
    <w:rsid w:val="4D5E249C"/>
    <w:rsid w:val="4DAA63E6"/>
    <w:rsid w:val="4DFA5DEE"/>
    <w:rsid w:val="4E2608B1"/>
    <w:rsid w:val="50FE7D1C"/>
    <w:rsid w:val="53A56C05"/>
    <w:rsid w:val="566A3B30"/>
    <w:rsid w:val="579816E0"/>
    <w:rsid w:val="59040F50"/>
    <w:rsid w:val="59244523"/>
    <w:rsid w:val="5D5609A8"/>
    <w:rsid w:val="5E985D8A"/>
    <w:rsid w:val="60165EF8"/>
    <w:rsid w:val="623965F1"/>
    <w:rsid w:val="62414988"/>
    <w:rsid w:val="640903AD"/>
    <w:rsid w:val="64BF1F59"/>
    <w:rsid w:val="67B11E90"/>
    <w:rsid w:val="68456E20"/>
    <w:rsid w:val="68850883"/>
    <w:rsid w:val="69580B0C"/>
    <w:rsid w:val="69EF63EA"/>
    <w:rsid w:val="6B4A5F7B"/>
    <w:rsid w:val="6B9A5901"/>
    <w:rsid w:val="6BEA2915"/>
    <w:rsid w:val="6C604533"/>
    <w:rsid w:val="6D041684"/>
    <w:rsid w:val="6FC04307"/>
    <w:rsid w:val="711236C4"/>
    <w:rsid w:val="73E916D1"/>
    <w:rsid w:val="73FE6222"/>
    <w:rsid w:val="74D214FE"/>
    <w:rsid w:val="77CB48E0"/>
    <w:rsid w:val="780B3921"/>
    <w:rsid w:val="785E18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link w:val="11"/>
    <w:qFormat/>
    <w:uiPriority w:val="9"/>
    <w:pPr>
      <w:widowControl/>
      <w:spacing w:before="100" w:beforeAutospacing="1" w:after="100" w:afterAutospacing="1"/>
      <w:jc w:val="left"/>
      <w:outlineLvl w:val="2"/>
    </w:pPr>
    <w:rPr>
      <w:rFonts w:ascii="宋体" w:hAnsi="宋体" w:eastAsia="宋体" w:cs="宋体"/>
      <w:b/>
      <w:bCs/>
      <w:kern w:val="0"/>
      <w:sz w:val="27"/>
      <w:szCs w:val="27"/>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页眉 Char"/>
    <w:basedOn w:val="7"/>
    <w:link w:val="4"/>
    <w:qFormat/>
    <w:uiPriority w:val="99"/>
    <w:rPr>
      <w:sz w:val="18"/>
      <w:szCs w:val="18"/>
    </w:rPr>
  </w:style>
  <w:style w:type="character" w:customStyle="1" w:styleId="9">
    <w:name w:val="页脚 Char"/>
    <w:basedOn w:val="7"/>
    <w:link w:val="3"/>
    <w:qFormat/>
    <w:uiPriority w:val="99"/>
    <w:rPr>
      <w:sz w:val="18"/>
      <w:szCs w:val="18"/>
    </w:rPr>
  </w:style>
  <w:style w:type="paragraph" w:customStyle="1" w:styleId="10">
    <w:name w:val="Default"/>
    <w:qFormat/>
    <w:uiPriority w:val="0"/>
    <w:pPr>
      <w:widowControl w:val="0"/>
      <w:autoSpaceDE w:val="0"/>
      <w:autoSpaceDN w:val="0"/>
      <w:adjustRightInd w:val="0"/>
    </w:pPr>
    <w:rPr>
      <w:rFonts w:ascii="仿宋_GB2312" w:eastAsia="仿宋_GB2312" w:cs="仿宋_GB2312" w:hAnsiTheme="minorHAnsi"/>
      <w:color w:val="000000"/>
      <w:sz w:val="24"/>
      <w:szCs w:val="24"/>
      <w:lang w:val="en-US" w:eastAsia="zh-CN" w:bidi="ar-SA"/>
    </w:rPr>
  </w:style>
  <w:style w:type="character" w:customStyle="1" w:styleId="11">
    <w:name w:val="标题 3 Char"/>
    <w:basedOn w:val="7"/>
    <w:link w:val="2"/>
    <w:qFormat/>
    <w:uiPriority w:val="9"/>
    <w:rPr>
      <w:rFonts w:ascii="宋体" w:hAnsi="宋体" w:eastAsia="宋体" w:cs="宋体"/>
      <w:b/>
      <w:bCs/>
      <w:kern w:val="0"/>
      <w:sz w:val="27"/>
      <w:szCs w:val="27"/>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Home</Company>
  <Pages>6</Pages>
  <Words>373</Words>
  <Characters>2131</Characters>
  <Lines>17</Lines>
  <Paragraphs>4</Paragraphs>
  <TotalTime>1</TotalTime>
  <ScaleCrop>false</ScaleCrop>
  <LinksUpToDate>false</LinksUpToDate>
  <CharactersWithSpaces>2500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2020-07-28T01:49:00Z</dcterms:created>
  <dc:creator>China</dc:creator>
  <cp:lastModifiedBy>张新泉</cp:lastModifiedBy>
  <cp:lastPrinted>2020-11-19T08:14:13Z</cp:lastPrinted>
  <dcterms:modified xsi:type="dcterms:W3CDTF">2020-11-19T08:14:16Z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